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Ansi="宋体" w:cs="宋体"/>
          <w:highlight w:val="none"/>
        </w:rPr>
      </w:pPr>
      <w:r>
        <w:rPr>
          <w:rFonts w:hint="eastAsia" w:hAnsi="宋体" w:cs="宋体"/>
          <w:b/>
          <w:sz w:val="52"/>
          <w:szCs w:val="52"/>
          <w:highlight w:val="none"/>
        </w:rPr>
        <w:tab/>
      </w:r>
      <w:r>
        <w:rPr>
          <w:rFonts w:hint="eastAsia" w:hAnsi="宋体" w:cs="宋体"/>
          <w:b/>
          <w:sz w:val="52"/>
          <w:szCs w:val="52"/>
          <w:highlight w:val="none"/>
        </w:rPr>
        <w:tab/>
      </w:r>
      <w:r>
        <w:rPr>
          <w:rFonts w:hint="eastAsia" w:hAnsi="宋体" w:cs="宋体"/>
          <w:b/>
          <w:sz w:val="52"/>
          <w:szCs w:val="52"/>
          <w:highlight w:val="none"/>
        </w:rPr>
        <w:tab/>
      </w:r>
    </w:p>
    <w:p>
      <w:pPr>
        <w:snapToGrid w:val="0"/>
        <w:spacing w:line="360" w:lineRule="auto"/>
        <w:jc w:val="center"/>
        <w:rPr>
          <w:rFonts w:hint="eastAsia" w:hAnsi="宋体" w:eastAsia="宋体" w:cs="宋体"/>
          <w:b/>
          <w:sz w:val="48"/>
          <w:szCs w:val="48"/>
          <w:highlight w:val="none"/>
          <w:lang w:eastAsia="zh-CN"/>
        </w:rPr>
      </w:pPr>
      <w:r>
        <w:rPr>
          <w:rFonts w:hint="eastAsia" w:hAnsi="宋体" w:cs="宋体"/>
          <w:b/>
          <w:sz w:val="48"/>
          <w:szCs w:val="48"/>
          <w:highlight w:val="none"/>
        </w:rPr>
        <w:t>金华市固体废物管理中心关于固体废物全过程</w:t>
      </w:r>
      <w:r>
        <w:rPr>
          <w:rFonts w:hint="eastAsia" w:hAnsi="宋体" w:cs="宋体"/>
          <w:b/>
          <w:sz w:val="48"/>
          <w:szCs w:val="48"/>
          <w:highlight w:val="none"/>
          <w:lang w:eastAsia="zh-CN"/>
        </w:rPr>
        <w:t>管理平台运行及维护项目</w:t>
      </w:r>
    </w:p>
    <w:p>
      <w:pPr>
        <w:spacing w:before="317" w:beforeLines="50"/>
        <w:jc w:val="center"/>
        <w:rPr>
          <w:rFonts w:hAnsi="宋体" w:cs="宋体"/>
          <w:b/>
          <w:sz w:val="48"/>
          <w:szCs w:val="48"/>
          <w:highlight w:val="none"/>
        </w:rPr>
      </w:pPr>
    </w:p>
    <w:p>
      <w:pPr>
        <w:spacing w:before="317" w:beforeLines="50"/>
        <w:jc w:val="center"/>
        <w:rPr>
          <w:rFonts w:hAnsi="宋体" w:cs="宋体"/>
          <w:b/>
          <w:sz w:val="48"/>
          <w:szCs w:val="48"/>
          <w:highlight w:val="none"/>
        </w:rPr>
      </w:pPr>
    </w:p>
    <w:p>
      <w:pPr>
        <w:spacing w:before="317" w:beforeLines="50"/>
        <w:jc w:val="center"/>
        <w:rPr>
          <w:rFonts w:hAnsi="宋体" w:cs="宋体"/>
          <w:b/>
          <w:sz w:val="48"/>
          <w:szCs w:val="48"/>
          <w:highlight w:val="none"/>
        </w:rPr>
      </w:pPr>
    </w:p>
    <w:p>
      <w:pPr>
        <w:spacing w:before="317" w:beforeLines="50"/>
        <w:jc w:val="center"/>
        <w:rPr>
          <w:rFonts w:hAnsi="宋体" w:cs="宋体"/>
          <w:b/>
          <w:sz w:val="52"/>
          <w:szCs w:val="52"/>
          <w:highlight w:val="none"/>
        </w:rPr>
      </w:pPr>
      <w:r>
        <w:rPr>
          <w:rFonts w:hint="eastAsia" w:hAnsi="宋体" w:cs="宋体"/>
          <w:b/>
          <w:sz w:val="52"/>
          <w:szCs w:val="52"/>
          <w:highlight w:val="none"/>
        </w:rPr>
        <w:t>公开招标采购文件</w:t>
      </w:r>
    </w:p>
    <w:p>
      <w:pPr>
        <w:snapToGrid w:val="0"/>
        <w:spacing w:before="317" w:beforeLines="50" w:line="360" w:lineRule="auto"/>
        <w:rPr>
          <w:rFonts w:hAnsi="宋体" w:cs="宋体"/>
          <w:sz w:val="30"/>
          <w:szCs w:val="72"/>
          <w:highlight w:val="none"/>
        </w:rPr>
      </w:pPr>
    </w:p>
    <w:p>
      <w:pPr>
        <w:snapToGrid w:val="0"/>
        <w:spacing w:before="317" w:beforeLines="50" w:line="360" w:lineRule="auto"/>
        <w:rPr>
          <w:rFonts w:hAnsi="宋体" w:cs="宋体"/>
          <w:sz w:val="30"/>
          <w:szCs w:val="72"/>
          <w:highlight w:val="none"/>
        </w:rPr>
      </w:pPr>
    </w:p>
    <w:p>
      <w:pPr>
        <w:pStyle w:val="2"/>
        <w:ind w:left="680"/>
        <w:rPr>
          <w:rFonts w:ascii="宋体" w:hAnsi="宋体" w:cs="宋体"/>
          <w:sz w:val="30"/>
          <w:szCs w:val="72"/>
          <w:highlight w:val="none"/>
        </w:rPr>
      </w:pPr>
    </w:p>
    <w:p>
      <w:pPr>
        <w:snapToGrid w:val="0"/>
        <w:spacing w:line="480" w:lineRule="auto"/>
        <w:rPr>
          <w:rFonts w:hAnsi="宋体" w:cs="宋体"/>
          <w:b/>
          <w:bCs/>
          <w:w w:val="95"/>
          <w:sz w:val="30"/>
          <w:szCs w:val="30"/>
          <w:highlight w:val="none"/>
        </w:rPr>
      </w:pPr>
    </w:p>
    <w:p>
      <w:pPr>
        <w:snapToGrid w:val="0"/>
        <w:spacing w:line="480" w:lineRule="auto"/>
        <w:ind w:firstLine="572" w:firstLineChars="200"/>
        <w:rPr>
          <w:rFonts w:hint="eastAsia" w:hAnsi="宋体" w:eastAsia="宋体" w:cs="宋体"/>
          <w:b/>
          <w:bCs/>
          <w:w w:val="95"/>
          <w:sz w:val="30"/>
          <w:szCs w:val="30"/>
          <w:highlight w:val="none"/>
          <w:lang w:eastAsia="zh-CN"/>
        </w:rPr>
      </w:pPr>
      <w:r>
        <w:rPr>
          <w:rFonts w:hint="eastAsia" w:hAnsi="宋体" w:cs="宋体"/>
          <w:b/>
          <w:bCs/>
          <w:w w:val="95"/>
          <w:sz w:val="30"/>
          <w:szCs w:val="30"/>
          <w:highlight w:val="none"/>
        </w:rPr>
        <w:t>项目编号：</w:t>
      </w:r>
      <w:r>
        <w:rPr>
          <w:rFonts w:hint="eastAsia" w:hAnsi="宋体" w:cs="宋体"/>
          <w:b/>
          <w:bCs/>
          <w:w w:val="95"/>
          <w:sz w:val="30"/>
          <w:szCs w:val="30"/>
          <w:highlight w:val="none"/>
          <w:lang w:eastAsia="zh-CN"/>
        </w:rPr>
        <w:t>TY2022-FW342-ZFCG342</w:t>
      </w:r>
    </w:p>
    <w:p>
      <w:pPr>
        <w:snapToGrid w:val="0"/>
        <w:spacing w:line="480" w:lineRule="auto"/>
        <w:ind w:firstLine="572" w:firstLineChars="200"/>
        <w:rPr>
          <w:rFonts w:hAnsi="宋体" w:cs="宋体"/>
          <w:b/>
          <w:bCs/>
          <w:w w:val="95"/>
          <w:sz w:val="30"/>
          <w:szCs w:val="30"/>
          <w:highlight w:val="none"/>
        </w:rPr>
      </w:pPr>
      <w:r>
        <w:rPr>
          <w:rFonts w:hint="eastAsia" w:hAnsi="宋体" w:cs="宋体"/>
          <w:b/>
          <w:bCs/>
          <w:w w:val="95"/>
          <w:sz w:val="30"/>
          <w:szCs w:val="30"/>
          <w:highlight w:val="none"/>
        </w:rPr>
        <w:t>采购单位：金华市固体废物管理中心</w:t>
      </w:r>
    </w:p>
    <w:p>
      <w:pPr>
        <w:snapToGrid w:val="0"/>
        <w:spacing w:line="480" w:lineRule="auto"/>
        <w:ind w:firstLine="572" w:firstLineChars="200"/>
        <w:rPr>
          <w:rFonts w:hAnsi="宋体" w:cs="宋体"/>
          <w:b/>
          <w:bCs/>
          <w:w w:val="95"/>
          <w:sz w:val="30"/>
          <w:szCs w:val="30"/>
          <w:highlight w:val="none"/>
        </w:rPr>
      </w:pPr>
      <w:r>
        <w:rPr>
          <w:rFonts w:hint="eastAsia" w:hAnsi="宋体" w:cs="宋体"/>
          <w:b/>
          <w:bCs/>
          <w:w w:val="95"/>
          <w:sz w:val="30"/>
          <w:szCs w:val="30"/>
          <w:highlight w:val="none"/>
        </w:rPr>
        <w:t>代理机构：金华市天盈财务咨询有限公司</w:t>
      </w:r>
    </w:p>
    <w:p>
      <w:pPr>
        <w:snapToGrid w:val="0"/>
        <w:spacing w:line="480" w:lineRule="auto"/>
        <w:ind w:firstLine="572" w:firstLineChars="200"/>
        <w:rPr>
          <w:rFonts w:hAnsi="宋体" w:cs="宋体"/>
          <w:b/>
          <w:bCs/>
          <w:w w:val="95"/>
          <w:sz w:val="30"/>
          <w:szCs w:val="30"/>
          <w:highlight w:val="none"/>
        </w:rPr>
      </w:pPr>
      <w:r>
        <w:rPr>
          <w:rFonts w:hint="eastAsia" w:hAnsi="宋体" w:cs="宋体"/>
          <w:b/>
          <w:bCs/>
          <w:w w:val="95"/>
          <w:sz w:val="30"/>
          <w:szCs w:val="30"/>
          <w:highlight w:val="none"/>
        </w:rPr>
        <w:t>监管单位：金华市财政局政府采购监督处</w:t>
      </w:r>
    </w:p>
    <w:p>
      <w:pPr>
        <w:snapToGrid w:val="0"/>
        <w:spacing w:line="480" w:lineRule="auto"/>
        <w:jc w:val="center"/>
        <w:rPr>
          <w:rFonts w:hAnsi="宋体" w:cs="宋体"/>
          <w:b/>
          <w:bCs/>
          <w:w w:val="95"/>
          <w:sz w:val="30"/>
          <w:szCs w:val="30"/>
          <w:highlight w:val="none"/>
        </w:rPr>
      </w:pPr>
      <w:r>
        <w:rPr>
          <w:rFonts w:hint="eastAsia" w:hAnsi="宋体" w:cs="宋体"/>
          <w:b/>
          <w:bCs/>
          <w:w w:val="95"/>
          <w:sz w:val="30"/>
          <w:szCs w:val="30"/>
          <w:highlight w:val="none"/>
        </w:rPr>
        <w:t xml:space="preserve">2 0 2 2 年 </w:t>
      </w:r>
      <w:r>
        <w:rPr>
          <w:rFonts w:hint="eastAsia" w:hAnsi="宋体" w:cs="宋体"/>
          <w:b/>
          <w:bCs/>
          <w:w w:val="95"/>
          <w:sz w:val="30"/>
          <w:szCs w:val="30"/>
          <w:highlight w:val="none"/>
          <w:lang w:val="en-US" w:eastAsia="zh-CN"/>
        </w:rPr>
        <w:t>1</w:t>
      </w:r>
      <w:r>
        <w:rPr>
          <w:rFonts w:hint="eastAsia" w:hAnsi="宋体" w:cs="宋体"/>
          <w:b/>
          <w:bCs/>
          <w:w w:val="95"/>
          <w:sz w:val="30"/>
          <w:szCs w:val="30"/>
          <w:highlight w:val="none"/>
        </w:rPr>
        <w:t xml:space="preserve"> </w:t>
      </w:r>
      <w:r>
        <w:rPr>
          <w:rFonts w:hint="eastAsia" w:hAnsi="宋体" w:cs="宋体"/>
          <w:b/>
          <w:bCs/>
          <w:w w:val="95"/>
          <w:sz w:val="30"/>
          <w:szCs w:val="30"/>
          <w:highlight w:val="none"/>
          <w:lang w:val="en-US" w:eastAsia="zh-CN"/>
        </w:rPr>
        <w:t>1</w:t>
      </w:r>
      <w:r>
        <w:rPr>
          <w:rFonts w:hint="eastAsia" w:hAnsi="宋体" w:cs="宋体"/>
          <w:b/>
          <w:bCs/>
          <w:w w:val="95"/>
          <w:sz w:val="30"/>
          <w:szCs w:val="30"/>
          <w:highlight w:val="none"/>
        </w:rPr>
        <w:t xml:space="preserve"> 月  </w:t>
      </w:r>
    </w:p>
    <w:p>
      <w:pPr>
        <w:jc w:val="center"/>
        <w:rPr>
          <w:rFonts w:hAnsi="宋体" w:cs="宋体"/>
          <w:highlight w:val="none"/>
        </w:rPr>
        <w:sectPr>
          <w:headerReference r:id="rId4" w:type="first"/>
          <w:headerReference r:id="rId3" w:type="default"/>
          <w:footerReference r:id="rId5" w:type="default"/>
          <w:footerReference r:id="rId6" w:type="even"/>
          <w:pgSz w:w="11906" w:h="16838"/>
          <w:pgMar w:top="1440" w:right="1304" w:bottom="1440" w:left="1304" w:header="850" w:footer="567" w:gutter="0"/>
          <w:pgNumType w:start="0"/>
          <w:cols w:space="720" w:num="1"/>
          <w:titlePg/>
          <w:docGrid w:type="lines" w:linePitch="634" w:charSpace="0"/>
        </w:sectPr>
      </w:pPr>
    </w:p>
    <w:p>
      <w:pPr>
        <w:pStyle w:val="2"/>
        <w:rPr>
          <w:highlight w:val="none"/>
        </w:rPr>
      </w:pPr>
    </w:p>
    <w:p>
      <w:pPr>
        <w:jc w:val="center"/>
        <w:rPr>
          <w:rFonts w:hAnsi="宋体" w:cs="宋体"/>
          <w:b/>
          <w:sz w:val="36"/>
          <w:szCs w:val="36"/>
          <w:highlight w:val="none"/>
        </w:rPr>
      </w:pPr>
      <w:r>
        <w:rPr>
          <w:rFonts w:hint="eastAsia" w:hAnsi="宋体" w:cs="宋体"/>
          <w:highlight w:val="none"/>
        </w:rPr>
        <w:t>目        录</w:t>
      </w:r>
      <w:bookmarkStart w:id="0" w:name="_Toc237182500"/>
    </w:p>
    <w:p>
      <w:pPr>
        <w:pStyle w:val="35"/>
        <w:tabs>
          <w:tab w:val="right" w:leader="dot" w:pos="9452"/>
        </w:tabs>
        <w:spacing w:line="380" w:lineRule="exact"/>
        <w:rPr>
          <w:rFonts w:ascii="宋体" w:hAnsi="宋体" w:cs="宋体"/>
          <w:b w:val="0"/>
          <w:bCs w:val="0"/>
          <w:caps w:val="0"/>
          <w:kern w:val="2"/>
          <w:sz w:val="21"/>
          <w:szCs w:val="21"/>
          <w:highlight w:val="none"/>
        </w:rPr>
      </w:pPr>
      <w:r>
        <w:rPr>
          <w:rFonts w:hint="eastAsia" w:ascii="宋体" w:hAnsi="宋体" w:cs="宋体"/>
          <w:b w:val="0"/>
          <w:bCs w:val="0"/>
          <w:sz w:val="21"/>
          <w:szCs w:val="21"/>
          <w:highlight w:val="none"/>
        </w:rPr>
        <w:fldChar w:fldCharType="begin"/>
      </w:r>
      <w:r>
        <w:rPr>
          <w:rFonts w:hint="eastAsia" w:ascii="宋体" w:hAnsi="宋体" w:cs="宋体"/>
          <w:b w:val="0"/>
          <w:bCs w:val="0"/>
          <w:sz w:val="21"/>
          <w:szCs w:val="21"/>
          <w:highlight w:val="none"/>
        </w:rPr>
        <w:instrText xml:space="preserve"> TOC \o "1-3" \h \z \u </w:instrText>
      </w:r>
      <w:r>
        <w:rPr>
          <w:rFonts w:hint="eastAsia" w:ascii="宋体" w:hAnsi="宋体" w:cs="宋体"/>
          <w:b w:val="0"/>
          <w:bCs w:val="0"/>
          <w:sz w:val="21"/>
          <w:szCs w:val="21"/>
          <w:highlight w:val="none"/>
        </w:rPr>
        <w:fldChar w:fldCharType="separate"/>
      </w:r>
      <w:r>
        <w:rPr>
          <w:highlight w:val="none"/>
        </w:rPr>
        <w:fldChar w:fldCharType="begin"/>
      </w:r>
      <w:r>
        <w:rPr>
          <w:highlight w:val="none"/>
        </w:rPr>
        <w:instrText xml:space="preserve"> HYPERLINK \l "_Toc351559940" </w:instrText>
      </w:r>
      <w:r>
        <w:rPr>
          <w:highlight w:val="none"/>
        </w:rPr>
        <w:fldChar w:fldCharType="separate"/>
      </w:r>
      <w:r>
        <w:rPr>
          <w:rFonts w:hint="eastAsia" w:ascii="宋体" w:hAnsi="宋体" w:cs="宋体"/>
          <w:sz w:val="21"/>
          <w:szCs w:val="21"/>
          <w:highlight w:val="none"/>
        </w:rPr>
        <w:t>第一章  公开招标采购公告</w:t>
      </w:r>
      <w:r>
        <w:rPr>
          <w:rFonts w:hint="eastAsia" w:ascii="宋体" w:hAnsi="宋体" w:cs="宋体"/>
          <w:sz w:val="21"/>
          <w:szCs w:val="21"/>
          <w:highlight w:val="none"/>
        </w:rPr>
        <w:tab/>
      </w:r>
      <w:r>
        <w:rPr>
          <w:rFonts w:hint="eastAsia" w:ascii="宋体" w:hAnsi="宋体" w:cs="宋体"/>
          <w:sz w:val="21"/>
          <w:szCs w:val="21"/>
          <w:highlight w:val="none"/>
        </w:rPr>
        <w:fldChar w:fldCharType="begin"/>
      </w:r>
      <w:r>
        <w:rPr>
          <w:rFonts w:hint="eastAsia" w:ascii="宋体" w:hAnsi="宋体" w:cs="宋体"/>
          <w:sz w:val="21"/>
          <w:szCs w:val="21"/>
          <w:highlight w:val="none"/>
        </w:rPr>
        <w:instrText xml:space="preserve"> PAGEREF _Toc351559940 \h </w:instrText>
      </w:r>
      <w:r>
        <w:rPr>
          <w:rFonts w:hint="eastAsia" w:ascii="宋体" w:hAnsi="宋体" w:cs="宋体"/>
          <w:sz w:val="21"/>
          <w:szCs w:val="21"/>
          <w:highlight w:val="none"/>
        </w:rPr>
        <w:fldChar w:fldCharType="separate"/>
      </w:r>
      <w:r>
        <w:rPr>
          <w:rFonts w:hint="eastAsia" w:ascii="宋体" w:hAnsi="宋体" w:cs="宋体"/>
          <w:sz w:val="21"/>
          <w:szCs w:val="21"/>
          <w:highlight w:val="none"/>
        </w:rPr>
        <w:t>1</w:t>
      </w:r>
      <w:r>
        <w:rPr>
          <w:rFonts w:hint="eastAsia" w:ascii="宋体" w:hAnsi="宋体" w:cs="宋体"/>
          <w:sz w:val="21"/>
          <w:szCs w:val="21"/>
          <w:highlight w:val="none"/>
        </w:rPr>
        <w:fldChar w:fldCharType="end"/>
      </w:r>
      <w:r>
        <w:rPr>
          <w:rFonts w:hint="eastAsia" w:ascii="宋体" w:hAnsi="宋体" w:cs="宋体"/>
          <w:sz w:val="21"/>
          <w:szCs w:val="21"/>
          <w:highlight w:val="none"/>
        </w:rPr>
        <w:fldChar w:fldCharType="end"/>
      </w:r>
    </w:p>
    <w:p>
      <w:pPr>
        <w:pStyle w:val="35"/>
        <w:tabs>
          <w:tab w:val="right" w:leader="dot" w:pos="9452"/>
        </w:tabs>
        <w:spacing w:line="380" w:lineRule="exact"/>
        <w:rPr>
          <w:rFonts w:ascii="宋体" w:hAnsi="宋体" w:cs="宋体"/>
          <w:b w:val="0"/>
          <w:bCs w:val="0"/>
          <w:caps w:val="0"/>
          <w:kern w:val="2"/>
          <w:sz w:val="21"/>
          <w:szCs w:val="21"/>
          <w:highlight w:val="none"/>
        </w:rPr>
      </w:pPr>
      <w:r>
        <w:rPr>
          <w:highlight w:val="none"/>
        </w:rPr>
        <w:fldChar w:fldCharType="begin"/>
      </w:r>
      <w:r>
        <w:rPr>
          <w:highlight w:val="none"/>
        </w:rPr>
        <w:instrText xml:space="preserve"> HYPERLINK \l "_Toc351559941" </w:instrText>
      </w:r>
      <w:r>
        <w:rPr>
          <w:highlight w:val="none"/>
        </w:rPr>
        <w:fldChar w:fldCharType="separate"/>
      </w:r>
      <w:r>
        <w:rPr>
          <w:rFonts w:hint="eastAsia" w:ascii="宋体" w:hAnsi="宋体" w:cs="宋体"/>
          <w:sz w:val="21"/>
          <w:szCs w:val="21"/>
          <w:highlight w:val="none"/>
        </w:rPr>
        <w:t>第二章  招标需求</w:t>
      </w:r>
      <w:r>
        <w:rPr>
          <w:rFonts w:hint="eastAsia" w:ascii="宋体" w:hAnsi="宋体" w:cs="宋体"/>
          <w:sz w:val="21"/>
          <w:szCs w:val="21"/>
          <w:highlight w:val="none"/>
        </w:rPr>
        <w:tab/>
      </w:r>
      <w:r>
        <w:rPr>
          <w:rFonts w:hint="eastAsia" w:ascii="宋体" w:hAnsi="宋体" w:cs="宋体"/>
          <w:sz w:val="21"/>
          <w:szCs w:val="21"/>
          <w:highlight w:val="none"/>
        </w:rPr>
        <w:fldChar w:fldCharType="begin"/>
      </w:r>
      <w:r>
        <w:rPr>
          <w:rFonts w:hint="eastAsia" w:ascii="宋体" w:hAnsi="宋体" w:cs="宋体"/>
          <w:sz w:val="21"/>
          <w:szCs w:val="21"/>
          <w:highlight w:val="none"/>
        </w:rPr>
        <w:instrText xml:space="preserve"> PAGEREF _Toc351559941 \h </w:instrText>
      </w:r>
      <w:r>
        <w:rPr>
          <w:rFonts w:hint="eastAsia" w:ascii="宋体" w:hAnsi="宋体" w:cs="宋体"/>
          <w:sz w:val="21"/>
          <w:szCs w:val="21"/>
          <w:highlight w:val="none"/>
        </w:rPr>
        <w:fldChar w:fldCharType="separate"/>
      </w:r>
      <w:r>
        <w:rPr>
          <w:rFonts w:hint="eastAsia" w:ascii="宋体" w:hAnsi="宋体" w:cs="宋体"/>
          <w:sz w:val="21"/>
          <w:szCs w:val="21"/>
          <w:highlight w:val="none"/>
        </w:rPr>
        <w:t>7</w:t>
      </w:r>
      <w:r>
        <w:rPr>
          <w:rFonts w:hint="eastAsia" w:ascii="宋体" w:hAnsi="宋体" w:cs="宋体"/>
          <w:sz w:val="21"/>
          <w:szCs w:val="21"/>
          <w:highlight w:val="none"/>
        </w:rPr>
        <w:fldChar w:fldCharType="end"/>
      </w:r>
      <w:r>
        <w:rPr>
          <w:rFonts w:hint="eastAsia" w:ascii="宋体" w:hAnsi="宋体" w:cs="宋体"/>
          <w:sz w:val="21"/>
          <w:szCs w:val="21"/>
          <w:highlight w:val="none"/>
        </w:rPr>
        <w:fldChar w:fldCharType="end"/>
      </w:r>
    </w:p>
    <w:p>
      <w:pPr>
        <w:pStyle w:val="35"/>
        <w:tabs>
          <w:tab w:val="right" w:leader="dot" w:pos="9452"/>
        </w:tabs>
        <w:spacing w:line="380" w:lineRule="exact"/>
        <w:rPr>
          <w:rFonts w:ascii="宋体" w:hAnsi="宋体" w:cs="宋体"/>
          <w:b w:val="0"/>
          <w:bCs w:val="0"/>
          <w:caps w:val="0"/>
          <w:kern w:val="2"/>
          <w:sz w:val="21"/>
          <w:szCs w:val="21"/>
          <w:highlight w:val="none"/>
        </w:rPr>
      </w:pPr>
      <w:r>
        <w:rPr>
          <w:highlight w:val="none"/>
        </w:rPr>
        <w:fldChar w:fldCharType="begin"/>
      </w:r>
      <w:r>
        <w:rPr>
          <w:highlight w:val="none"/>
        </w:rPr>
        <w:instrText xml:space="preserve"> HYPERLINK \l "_Toc351559942" </w:instrText>
      </w:r>
      <w:r>
        <w:rPr>
          <w:highlight w:val="none"/>
        </w:rPr>
        <w:fldChar w:fldCharType="separate"/>
      </w:r>
      <w:r>
        <w:rPr>
          <w:rFonts w:hint="eastAsia" w:ascii="宋体" w:hAnsi="宋体" w:cs="宋体"/>
          <w:sz w:val="21"/>
          <w:szCs w:val="21"/>
          <w:highlight w:val="none"/>
        </w:rPr>
        <w:t>第三章  投标人须知</w:t>
      </w:r>
      <w:r>
        <w:rPr>
          <w:rFonts w:hint="eastAsia" w:ascii="宋体" w:hAnsi="宋体" w:cs="宋体"/>
          <w:sz w:val="21"/>
          <w:szCs w:val="21"/>
          <w:highlight w:val="none"/>
        </w:rPr>
        <w:tab/>
      </w:r>
      <w:r>
        <w:rPr>
          <w:rFonts w:hint="eastAsia" w:ascii="宋体" w:hAnsi="宋体" w:cs="宋体"/>
          <w:sz w:val="21"/>
          <w:szCs w:val="21"/>
          <w:highlight w:val="none"/>
        </w:rPr>
        <w:fldChar w:fldCharType="end"/>
      </w:r>
      <w:r>
        <w:rPr>
          <w:rFonts w:hint="eastAsia" w:ascii="宋体" w:hAnsi="宋体" w:cs="宋体"/>
          <w:sz w:val="21"/>
          <w:szCs w:val="21"/>
          <w:highlight w:val="none"/>
        </w:rPr>
        <w:t>23</w:t>
      </w:r>
    </w:p>
    <w:p>
      <w:pPr>
        <w:pStyle w:val="28"/>
        <w:rPr>
          <w:rFonts w:ascii="宋体" w:hAnsi="宋体" w:cs="宋体"/>
          <w:smallCaps w:val="0"/>
          <w:color w:val="auto"/>
          <w:kern w:val="2"/>
          <w:highlight w:val="none"/>
        </w:rPr>
      </w:pPr>
      <w:r>
        <w:rPr>
          <w:highlight w:val="none"/>
        </w:rPr>
        <w:fldChar w:fldCharType="begin"/>
      </w:r>
      <w:r>
        <w:rPr>
          <w:highlight w:val="none"/>
        </w:rPr>
        <w:instrText xml:space="preserve"> HYPERLINK \l "_Toc351559943" </w:instrText>
      </w:r>
      <w:r>
        <w:rPr>
          <w:highlight w:val="none"/>
        </w:rPr>
        <w:fldChar w:fldCharType="separate"/>
      </w:r>
      <w:r>
        <w:rPr>
          <w:rFonts w:hint="eastAsia" w:ascii="宋体" w:hAnsi="宋体" w:cs="宋体"/>
          <w:b/>
          <w:color w:val="auto"/>
          <w:highlight w:val="none"/>
        </w:rPr>
        <w:t>前附表</w:t>
      </w:r>
      <w:r>
        <w:rPr>
          <w:rFonts w:hint="eastAsia" w:ascii="宋体" w:hAnsi="宋体" w:cs="宋体"/>
          <w:color w:val="auto"/>
          <w:highlight w:val="none"/>
        </w:rPr>
        <w:tab/>
      </w:r>
      <w:r>
        <w:rPr>
          <w:rFonts w:hint="eastAsia" w:ascii="宋体" w:hAnsi="宋体" w:cs="宋体"/>
          <w:color w:val="auto"/>
          <w:highlight w:val="none"/>
        </w:rPr>
        <w:fldChar w:fldCharType="end"/>
      </w:r>
      <w:r>
        <w:rPr>
          <w:rFonts w:hint="eastAsia" w:ascii="宋体" w:hAnsi="宋体" w:cs="宋体"/>
          <w:b/>
          <w:color w:val="auto"/>
          <w:highlight w:val="none"/>
        </w:rPr>
        <w:t>23</w:t>
      </w:r>
    </w:p>
    <w:p>
      <w:pPr>
        <w:pStyle w:val="35"/>
        <w:tabs>
          <w:tab w:val="right" w:leader="dot" w:pos="9452"/>
        </w:tabs>
        <w:spacing w:line="380" w:lineRule="exact"/>
        <w:rPr>
          <w:rFonts w:ascii="宋体" w:hAnsi="宋体" w:cs="宋体"/>
          <w:b w:val="0"/>
          <w:bCs w:val="0"/>
          <w:caps w:val="0"/>
          <w:kern w:val="2"/>
          <w:sz w:val="21"/>
          <w:szCs w:val="21"/>
          <w:highlight w:val="none"/>
        </w:rPr>
      </w:pPr>
      <w:r>
        <w:rPr>
          <w:highlight w:val="none"/>
        </w:rPr>
        <w:fldChar w:fldCharType="begin"/>
      </w:r>
      <w:r>
        <w:rPr>
          <w:highlight w:val="none"/>
        </w:rPr>
        <w:instrText xml:space="preserve"> HYPERLINK \l "_Toc351559944" </w:instrText>
      </w:r>
      <w:r>
        <w:rPr>
          <w:highlight w:val="none"/>
        </w:rPr>
        <w:fldChar w:fldCharType="separate"/>
      </w:r>
      <w:r>
        <w:rPr>
          <w:rFonts w:hint="eastAsia" w:ascii="宋体" w:hAnsi="宋体" w:cs="宋体"/>
          <w:sz w:val="21"/>
          <w:szCs w:val="21"/>
          <w:highlight w:val="none"/>
        </w:rPr>
        <w:t>第四章 评标</w:t>
      </w:r>
      <w:bookmarkStart w:id="1" w:name="_Hlt23505456"/>
      <w:bookmarkStart w:id="2" w:name="_Hlt23505457"/>
      <w:r>
        <w:rPr>
          <w:rFonts w:hint="eastAsia" w:ascii="宋体" w:hAnsi="宋体" w:cs="宋体"/>
          <w:sz w:val="21"/>
          <w:szCs w:val="21"/>
          <w:highlight w:val="none"/>
        </w:rPr>
        <w:t>办</w:t>
      </w:r>
      <w:bookmarkEnd w:id="1"/>
      <w:bookmarkEnd w:id="2"/>
      <w:bookmarkStart w:id="3" w:name="_Hlt479276105"/>
      <w:bookmarkStart w:id="4" w:name="_Hlt479276106"/>
      <w:r>
        <w:rPr>
          <w:rFonts w:hint="eastAsia" w:ascii="宋体" w:hAnsi="宋体" w:cs="宋体"/>
          <w:sz w:val="21"/>
          <w:szCs w:val="21"/>
          <w:highlight w:val="none"/>
        </w:rPr>
        <w:t>法</w:t>
      </w:r>
      <w:bookmarkEnd w:id="3"/>
      <w:bookmarkEnd w:id="4"/>
      <w:r>
        <w:rPr>
          <w:rFonts w:hint="eastAsia" w:ascii="宋体" w:hAnsi="宋体" w:cs="宋体"/>
          <w:sz w:val="21"/>
          <w:szCs w:val="21"/>
          <w:highlight w:val="none"/>
        </w:rPr>
        <w:t>及</w:t>
      </w:r>
      <w:bookmarkStart w:id="5" w:name="_Hlt75430652"/>
      <w:bookmarkStart w:id="6" w:name="_Hlt75430653"/>
      <w:r>
        <w:rPr>
          <w:rFonts w:hint="eastAsia" w:ascii="宋体" w:hAnsi="宋体" w:cs="宋体"/>
          <w:sz w:val="21"/>
          <w:szCs w:val="21"/>
          <w:highlight w:val="none"/>
        </w:rPr>
        <w:t>评</w:t>
      </w:r>
      <w:bookmarkEnd w:id="5"/>
      <w:bookmarkEnd w:id="6"/>
      <w:r>
        <w:rPr>
          <w:rFonts w:hint="eastAsia" w:ascii="宋体" w:hAnsi="宋体" w:cs="宋体"/>
          <w:sz w:val="21"/>
          <w:szCs w:val="21"/>
          <w:highlight w:val="none"/>
        </w:rPr>
        <w:t>分标准</w:t>
      </w:r>
      <w:r>
        <w:rPr>
          <w:rFonts w:hint="eastAsia" w:ascii="宋体" w:hAnsi="宋体" w:cs="宋体"/>
          <w:sz w:val="21"/>
          <w:szCs w:val="21"/>
          <w:highlight w:val="none"/>
        </w:rPr>
        <w:tab/>
      </w:r>
      <w:r>
        <w:rPr>
          <w:rFonts w:hint="eastAsia" w:ascii="宋体" w:hAnsi="宋体" w:cs="宋体"/>
          <w:sz w:val="21"/>
          <w:szCs w:val="21"/>
          <w:highlight w:val="none"/>
        </w:rPr>
        <w:fldChar w:fldCharType="end"/>
      </w:r>
      <w:r>
        <w:rPr>
          <w:rFonts w:hint="eastAsia" w:ascii="宋体" w:hAnsi="宋体" w:cs="宋体"/>
          <w:sz w:val="21"/>
          <w:szCs w:val="21"/>
          <w:highlight w:val="none"/>
        </w:rPr>
        <w:t>36</w:t>
      </w:r>
    </w:p>
    <w:p>
      <w:pPr>
        <w:pStyle w:val="35"/>
        <w:tabs>
          <w:tab w:val="right" w:leader="dot" w:pos="9452"/>
        </w:tabs>
        <w:spacing w:line="380" w:lineRule="exact"/>
        <w:rPr>
          <w:rFonts w:ascii="宋体" w:hAnsi="宋体" w:cs="宋体"/>
          <w:b w:val="0"/>
          <w:bCs w:val="0"/>
          <w:caps w:val="0"/>
          <w:kern w:val="2"/>
          <w:sz w:val="21"/>
          <w:szCs w:val="21"/>
          <w:highlight w:val="none"/>
        </w:rPr>
      </w:pPr>
      <w:r>
        <w:rPr>
          <w:highlight w:val="none"/>
        </w:rPr>
        <w:fldChar w:fldCharType="begin"/>
      </w:r>
      <w:r>
        <w:rPr>
          <w:highlight w:val="none"/>
        </w:rPr>
        <w:instrText xml:space="preserve"> HYPERLINK \l "_Toc351559945" </w:instrText>
      </w:r>
      <w:r>
        <w:rPr>
          <w:highlight w:val="none"/>
        </w:rPr>
        <w:fldChar w:fldCharType="separate"/>
      </w:r>
      <w:r>
        <w:rPr>
          <w:rFonts w:hint="eastAsia" w:ascii="宋体" w:hAnsi="宋体" w:cs="宋体"/>
          <w:sz w:val="21"/>
          <w:szCs w:val="21"/>
          <w:highlight w:val="none"/>
        </w:rPr>
        <w:t>第五章  合同文本</w:t>
      </w:r>
      <w:r>
        <w:rPr>
          <w:rFonts w:hint="eastAsia" w:ascii="宋体" w:hAnsi="宋体" w:cs="宋体"/>
          <w:sz w:val="21"/>
          <w:szCs w:val="21"/>
          <w:highlight w:val="none"/>
        </w:rPr>
        <w:tab/>
      </w:r>
      <w:r>
        <w:rPr>
          <w:rFonts w:hint="eastAsia" w:ascii="宋体" w:hAnsi="宋体" w:cs="宋体"/>
          <w:sz w:val="21"/>
          <w:szCs w:val="21"/>
          <w:highlight w:val="none"/>
        </w:rPr>
        <w:fldChar w:fldCharType="end"/>
      </w:r>
      <w:r>
        <w:rPr>
          <w:rFonts w:hint="eastAsia" w:ascii="宋体" w:hAnsi="宋体" w:cs="宋体"/>
          <w:sz w:val="21"/>
          <w:szCs w:val="21"/>
          <w:highlight w:val="none"/>
        </w:rPr>
        <w:t>40</w:t>
      </w:r>
    </w:p>
    <w:p>
      <w:pPr>
        <w:pStyle w:val="35"/>
        <w:tabs>
          <w:tab w:val="right" w:leader="dot" w:pos="9452"/>
        </w:tabs>
        <w:spacing w:line="380" w:lineRule="exact"/>
        <w:rPr>
          <w:rFonts w:ascii="宋体" w:hAnsi="宋体" w:cs="宋体"/>
          <w:sz w:val="21"/>
          <w:szCs w:val="21"/>
          <w:highlight w:val="none"/>
        </w:rPr>
      </w:pPr>
      <w:r>
        <w:rPr>
          <w:highlight w:val="none"/>
        </w:rPr>
        <w:fldChar w:fldCharType="begin"/>
      </w:r>
      <w:r>
        <w:rPr>
          <w:highlight w:val="none"/>
        </w:rPr>
        <w:instrText xml:space="preserve"> HYPERLINK \l "_Toc351559946" </w:instrText>
      </w:r>
      <w:r>
        <w:rPr>
          <w:highlight w:val="none"/>
        </w:rPr>
        <w:fldChar w:fldCharType="separate"/>
      </w:r>
      <w:r>
        <w:rPr>
          <w:rFonts w:hint="eastAsia" w:ascii="宋体" w:hAnsi="宋体" w:cs="宋体"/>
          <w:sz w:val="21"/>
          <w:szCs w:val="21"/>
          <w:highlight w:val="none"/>
        </w:rPr>
        <w:t>第六章　投标文件格式</w:t>
      </w:r>
      <w:r>
        <w:rPr>
          <w:rFonts w:hint="eastAsia" w:ascii="宋体" w:hAnsi="宋体" w:cs="宋体"/>
          <w:sz w:val="21"/>
          <w:szCs w:val="21"/>
          <w:highlight w:val="none"/>
        </w:rPr>
        <w:tab/>
      </w:r>
      <w:r>
        <w:rPr>
          <w:rFonts w:hint="eastAsia" w:ascii="宋体" w:hAnsi="宋体" w:cs="宋体"/>
          <w:sz w:val="21"/>
          <w:szCs w:val="21"/>
          <w:highlight w:val="none"/>
        </w:rPr>
        <w:fldChar w:fldCharType="end"/>
      </w:r>
      <w:r>
        <w:rPr>
          <w:rFonts w:hint="eastAsia" w:ascii="宋体" w:hAnsi="宋体" w:cs="宋体"/>
          <w:sz w:val="21"/>
          <w:szCs w:val="21"/>
          <w:highlight w:val="none"/>
        </w:rPr>
        <w:t>45</w:t>
      </w:r>
    </w:p>
    <w:p>
      <w:pPr>
        <w:rPr>
          <w:rFonts w:hAnsi="宋体" w:cs="宋体"/>
          <w:sz w:val="21"/>
          <w:szCs w:val="21"/>
          <w:highlight w:val="none"/>
        </w:rPr>
      </w:pPr>
    </w:p>
    <w:p>
      <w:pPr>
        <w:rPr>
          <w:rFonts w:hAnsi="宋体" w:cs="宋体"/>
          <w:sz w:val="21"/>
          <w:szCs w:val="21"/>
          <w:highlight w:val="none"/>
        </w:rPr>
      </w:pPr>
    </w:p>
    <w:p>
      <w:pPr>
        <w:spacing w:line="380" w:lineRule="exact"/>
        <w:ind w:firstLine="211" w:firstLineChars="100"/>
        <w:jc w:val="both"/>
        <w:rPr>
          <w:rFonts w:hAnsi="宋体" w:cs="宋体"/>
          <w:b/>
          <w:bCs/>
          <w:sz w:val="21"/>
          <w:szCs w:val="21"/>
          <w:highlight w:val="none"/>
        </w:rPr>
      </w:pPr>
      <w:r>
        <w:rPr>
          <w:rFonts w:hint="eastAsia" w:hAnsi="宋体" w:cs="宋体"/>
          <w:b/>
          <w:bCs/>
          <w:sz w:val="21"/>
          <w:szCs w:val="21"/>
          <w:highlight w:val="none"/>
        </w:rPr>
        <w:fldChar w:fldCharType="end"/>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为确保招投标活动的公开、公平、公正，切实维护各方合法权益，凡在招标投标、开标评标过程中，受到敲诈、勒索或发现围标串标、虚假投标、恶意竞标等涉黑涉恶线索者，请及时保留相关证据并向有关部门举报！</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举报电话：</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市扫黑办  0579-82495227</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市公安局  110、0579-82512110</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市检察院  0579-82537082</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市 法 院  0579-82688725</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sz w:val="21"/>
          <w:highlight w:val="none"/>
        </w:rPr>
      </w:pPr>
      <w:r>
        <w:rPr>
          <w:rFonts w:hint="eastAsia" w:ascii="宋体" w:hAnsi="宋体" w:cs="宋体"/>
          <w:b/>
          <w:sz w:val="21"/>
          <w:highlight w:val="none"/>
        </w:rPr>
        <w:t>市公共资源交易管理办公室  0579-82469285</w:t>
      </w:r>
    </w:p>
    <w:p>
      <w:pPr>
        <w:pStyle w:val="27"/>
        <w:pBdr>
          <w:top w:val="single" w:color="auto" w:sz="4" w:space="1"/>
          <w:left w:val="single" w:color="auto" w:sz="4" w:space="4"/>
          <w:bottom w:val="single" w:color="auto" w:sz="4" w:space="1"/>
          <w:right w:val="single" w:color="auto" w:sz="4" w:space="4"/>
        </w:pBdr>
        <w:snapToGrid w:val="0"/>
        <w:spacing w:line="460" w:lineRule="exact"/>
        <w:ind w:firstLine="422" w:firstLineChars="200"/>
        <w:rPr>
          <w:rFonts w:ascii="宋体" w:hAnsi="宋体" w:cs="宋体"/>
          <w:b/>
          <w:bCs/>
          <w:sz w:val="21"/>
          <w:highlight w:val="none"/>
        </w:rPr>
      </w:pPr>
      <w:r>
        <w:rPr>
          <w:rFonts w:hint="eastAsia" w:ascii="宋体" w:hAnsi="宋体" w:cs="宋体"/>
          <w:b/>
          <w:sz w:val="21"/>
          <w:highlight w:val="none"/>
        </w:rPr>
        <w:t>市公共资源交易中心  0579-83187211</w:t>
      </w:r>
    </w:p>
    <w:p>
      <w:pPr>
        <w:spacing w:line="380" w:lineRule="exact"/>
        <w:ind w:firstLine="211" w:firstLineChars="100"/>
        <w:jc w:val="both"/>
        <w:rPr>
          <w:rFonts w:hAnsi="宋体" w:cs="宋体"/>
          <w:b/>
          <w:sz w:val="21"/>
          <w:szCs w:val="21"/>
          <w:highlight w:val="none"/>
        </w:rPr>
      </w:pPr>
    </w:p>
    <w:p>
      <w:pPr>
        <w:spacing w:line="380" w:lineRule="exact"/>
        <w:ind w:firstLine="211" w:firstLineChars="100"/>
        <w:jc w:val="both"/>
        <w:rPr>
          <w:rFonts w:hAnsi="宋体" w:cs="宋体"/>
          <w:b/>
          <w:sz w:val="21"/>
          <w:szCs w:val="21"/>
          <w:highlight w:val="none"/>
        </w:rPr>
      </w:pPr>
      <w:r>
        <w:rPr>
          <w:rFonts w:hint="eastAsia" w:hAnsi="宋体" w:cs="宋体"/>
          <w:b/>
          <w:sz w:val="21"/>
          <w:szCs w:val="21"/>
          <w:highlight w:val="none"/>
        </w:rPr>
        <w:t>投标人不得向采购人、政府采购工作人员、评标专家行贿，违者一经查实，将列入政府采购黑名单！</w:t>
      </w:r>
    </w:p>
    <w:p>
      <w:pPr>
        <w:numPr>
          <w:ilvl w:val="0"/>
          <w:numId w:val="1"/>
        </w:numPr>
        <w:spacing w:line="380" w:lineRule="exact"/>
        <w:jc w:val="both"/>
        <w:textAlignment w:val="baseline"/>
        <w:rPr>
          <w:rFonts w:hAnsi="宋体" w:cs="宋体"/>
          <w:b/>
          <w:sz w:val="21"/>
          <w:szCs w:val="21"/>
          <w:highlight w:val="none"/>
        </w:rPr>
      </w:pPr>
      <w:r>
        <w:rPr>
          <w:rFonts w:hint="eastAsia" w:hAnsi="宋体" w:cs="宋体"/>
          <w:b/>
          <w:sz w:val="21"/>
          <w:szCs w:val="21"/>
          <w:highlight w:val="none"/>
          <w:lang w:bidi="ar"/>
        </w:rPr>
        <w:t>投标人须在政采云平台（http://zfcg.czt.zj.gov.cn/）进行免费注册，具体详见网站投标人注册要求，否则将可能无法上传投标文件。</w:t>
      </w:r>
    </w:p>
    <w:p>
      <w:pPr>
        <w:spacing w:line="380" w:lineRule="exact"/>
        <w:ind w:firstLine="211" w:firstLineChars="100"/>
        <w:jc w:val="both"/>
        <w:rPr>
          <w:rFonts w:hAnsi="宋体" w:cs="宋体"/>
          <w:b/>
          <w:bCs/>
          <w:sz w:val="18"/>
          <w:szCs w:val="18"/>
          <w:highlight w:val="none"/>
        </w:rPr>
      </w:pPr>
      <w:r>
        <w:rPr>
          <w:rFonts w:hint="eastAsia" w:hAnsi="宋体" w:cs="宋体"/>
          <w:b/>
          <w:sz w:val="21"/>
          <w:szCs w:val="21"/>
          <w:highlight w:val="none"/>
        </w:rPr>
        <w:t>（注：各投标人请认真阅读此招标文件，并按规定制作投标文件，否则大家的努力将是徒劳。）</w:t>
      </w:r>
    </w:p>
    <w:bookmarkEnd w:id="0"/>
    <w:p>
      <w:pPr>
        <w:pStyle w:val="5"/>
        <w:keepNext w:val="0"/>
        <w:spacing w:line="360" w:lineRule="auto"/>
        <w:jc w:val="center"/>
        <w:rPr>
          <w:rFonts w:hint="eastAsia" w:ascii="宋体" w:hAnsi="宋体" w:cs="宋体"/>
          <w:color w:val="auto"/>
          <w:sz w:val="30"/>
          <w:szCs w:val="30"/>
          <w:highlight w:val="none"/>
        </w:rPr>
        <w:sectPr>
          <w:footerReference r:id="rId8" w:type="first"/>
          <w:footerReference r:id="rId7" w:type="default"/>
          <w:pgSz w:w="11906" w:h="16838"/>
          <w:pgMar w:top="1440" w:right="1304" w:bottom="1440" w:left="1304" w:header="850" w:footer="567" w:gutter="0"/>
          <w:pgNumType w:start="0"/>
          <w:cols w:space="720" w:num="1"/>
          <w:titlePg/>
          <w:docGrid w:type="lines" w:linePitch="634" w:charSpace="0"/>
        </w:sectPr>
      </w:pPr>
      <w:bookmarkStart w:id="7" w:name="_Toc351559940"/>
      <w:bookmarkStart w:id="8" w:name="_Toc184785918"/>
      <w:bookmarkStart w:id="9" w:name="_Toc237176505"/>
      <w:bookmarkStart w:id="10" w:name="_Toc205638623"/>
      <w:bookmarkStart w:id="11" w:name="_Toc217289129"/>
    </w:p>
    <w:p>
      <w:pPr>
        <w:pStyle w:val="5"/>
        <w:keepNext w:val="0"/>
        <w:spacing w:line="360" w:lineRule="auto"/>
        <w:jc w:val="center"/>
        <w:rPr>
          <w:rFonts w:ascii="宋体" w:hAnsi="宋体" w:cs="宋体"/>
          <w:color w:val="auto"/>
          <w:sz w:val="30"/>
          <w:szCs w:val="30"/>
          <w:highlight w:val="none"/>
        </w:rPr>
      </w:pPr>
      <w:r>
        <w:rPr>
          <w:rFonts w:hint="eastAsia" w:ascii="宋体" w:hAnsi="宋体" w:cs="宋体"/>
          <w:color w:val="auto"/>
          <w:sz w:val="30"/>
          <w:szCs w:val="30"/>
          <w:highlight w:val="none"/>
        </w:rPr>
        <w:t>第一章  公开招标采购公告</w:t>
      </w:r>
      <w:bookmarkEnd w:id="7"/>
    </w:p>
    <w:p>
      <w:pPr>
        <w:pBdr>
          <w:top w:val="single" w:color="auto" w:sz="4" w:space="1"/>
          <w:left w:val="single" w:color="auto" w:sz="4" w:space="4"/>
          <w:bottom w:val="single" w:color="auto" w:sz="4" w:space="1"/>
          <w:right w:val="single" w:color="auto" w:sz="4" w:space="4"/>
        </w:pBdr>
        <w:spacing w:line="500" w:lineRule="exact"/>
        <w:ind w:firstLine="420" w:firstLineChars="200"/>
        <w:rPr>
          <w:rFonts w:hAnsi="宋体" w:cs="宋体"/>
          <w:sz w:val="21"/>
          <w:szCs w:val="21"/>
          <w:highlight w:val="none"/>
        </w:rPr>
      </w:pPr>
      <w:r>
        <w:rPr>
          <w:rFonts w:hint="eastAsia" w:hAnsi="宋体" w:cs="宋体"/>
          <w:sz w:val="21"/>
          <w:szCs w:val="21"/>
          <w:highlight w:val="none"/>
        </w:rPr>
        <w:t>项目概况</w:t>
      </w:r>
    </w:p>
    <w:p>
      <w:pPr>
        <w:pBdr>
          <w:top w:val="single" w:color="auto" w:sz="4" w:space="1"/>
          <w:left w:val="single" w:color="auto" w:sz="4" w:space="4"/>
          <w:bottom w:val="single" w:color="auto" w:sz="4" w:space="1"/>
          <w:right w:val="single" w:color="auto" w:sz="4" w:space="4"/>
        </w:pBd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金华市固体废物管理中心关于固体废物全过程</w:t>
      </w:r>
      <w:r>
        <w:rPr>
          <w:rFonts w:hint="eastAsia" w:hAnsi="宋体" w:cs="宋体"/>
          <w:sz w:val="21"/>
          <w:szCs w:val="21"/>
          <w:highlight w:val="none"/>
          <w:lang w:eastAsia="zh-CN"/>
        </w:rPr>
        <w:t>管理平台运行及维护项目</w:t>
      </w:r>
      <w:r>
        <w:rPr>
          <w:rFonts w:hint="eastAsia" w:hAnsi="宋体" w:cs="宋体"/>
          <w:sz w:val="21"/>
          <w:szCs w:val="21"/>
          <w:highlight w:val="none"/>
        </w:rPr>
        <w:t>的潜在投标人应在浙江省“政采云”平台</w:t>
      </w:r>
      <w:r>
        <w:rPr>
          <w:rFonts w:hint="eastAsia" w:hAnsi="宋体" w:cs="宋体"/>
          <w:b/>
          <w:bCs/>
          <w:sz w:val="21"/>
          <w:szCs w:val="21"/>
          <w:highlight w:val="none"/>
        </w:rPr>
        <w:t>获取招标文件</w:t>
      </w:r>
      <w:r>
        <w:rPr>
          <w:rFonts w:hint="eastAsia" w:hAnsi="宋体" w:cs="宋体"/>
          <w:sz w:val="21"/>
          <w:szCs w:val="21"/>
          <w:highlight w:val="none"/>
        </w:rPr>
        <w:t>，并于 2022</w:t>
      </w:r>
      <w:r>
        <w:rPr>
          <w:rFonts w:hint="eastAsia" w:hAnsi="宋体" w:cs="宋体"/>
          <w:bCs/>
          <w:sz w:val="21"/>
          <w:szCs w:val="21"/>
          <w:highlight w:val="none"/>
        </w:rPr>
        <w:t xml:space="preserve">年 </w:t>
      </w:r>
      <w:r>
        <w:rPr>
          <w:rFonts w:hint="eastAsia" w:hAnsi="宋体" w:cs="宋体"/>
          <w:bCs/>
          <w:sz w:val="21"/>
          <w:szCs w:val="21"/>
          <w:highlight w:val="none"/>
          <w:lang w:val="en-US" w:eastAsia="zh-CN"/>
        </w:rPr>
        <w:t>12</w:t>
      </w:r>
      <w:r>
        <w:rPr>
          <w:rFonts w:hint="eastAsia" w:hAnsi="宋体" w:cs="宋体"/>
          <w:bCs/>
          <w:sz w:val="21"/>
          <w:szCs w:val="21"/>
          <w:highlight w:val="none"/>
        </w:rPr>
        <w:t>月</w:t>
      </w:r>
      <w:r>
        <w:rPr>
          <w:rFonts w:hint="eastAsia" w:hAnsi="宋体" w:cs="宋体"/>
          <w:bCs/>
          <w:sz w:val="21"/>
          <w:szCs w:val="21"/>
          <w:highlight w:val="none"/>
          <w:lang w:val="en-US" w:eastAsia="zh-CN"/>
        </w:rPr>
        <w:t>08</w:t>
      </w:r>
      <w:r>
        <w:rPr>
          <w:rFonts w:hint="eastAsia" w:hAnsi="宋体" w:cs="宋体"/>
          <w:bCs/>
          <w:sz w:val="21"/>
          <w:szCs w:val="21"/>
          <w:highlight w:val="none"/>
        </w:rPr>
        <w:t xml:space="preserve"> 日</w:t>
      </w:r>
      <w:r>
        <w:rPr>
          <w:rFonts w:hint="eastAsia" w:hAnsi="宋体" w:cs="宋体"/>
          <w:bCs/>
          <w:sz w:val="21"/>
          <w:szCs w:val="21"/>
          <w:highlight w:val="none"/>
          <w:lang w:val="en-US" w:eastAsia="zh-CN"/>
        </w:rPr>
        <w:t>09</w:t>
      </w:r>
      <w:r>
        <w:rPr>
          <w:rFonts w:hint="eastAsia" w:hAnsi="宋体" w:cs="宋体"/>
          <w:bCs/>
          <w:sz w:val="21"/>
          <w:szCs w:val="21"/>
          <w:highlight w:val="none"/>
        </w:rPr>
        <w:t>点</w:t>
      </w:r>
      <w:r>
        <w:rPr>
          <w:rFonts w:hint="eastAsia" w:hAnsi="宋体" w:cs="宋体"/>
          <w:bCs/>
          <w:sz w:val="21"/>
          <w:szCs w:val="21"/>
          <w:highlight w:val="none"/>
          <w:lang w:val="en-US" w:eastAsia="zh-CN"/>
        </w:rPr>
        <w:t>3</w:t>
      </w:r>
      <w:r>
        <w:rPr>
          <w:rFonts w:hint="eastAsia" w:hAnsi="宋体" w:cs="宋体"/>
          <w:bCs/>
          <w:sz w:val="21"/>
          <w:szCs w:val="21"/>
          <w:highlight w:val="none"/>
        </w:rPr>
        <w:t>0分（北京时间）前上传投标文件</w:t>
      </w:r>
      <w:r>
        <w:rPr>
          <w:rFonts w:hint="eastAsia" w:hAnsi="宋体" w:cs="宋体"/>
          <w:sz w:val="21"/>
          <w:szCs w:val="21"/>
          <w:highlight w:val="none"/>
        </w:rPr>
        <w:t>。</w:t>
      </w:r>
    </w:p>
    <w:p>
      <w:pPr>
        <w:tabs>
          <w:tab w:val="left" w:pos="1260"/>
        </w:tabs>
        <w:autoSpaceDE/>
        <w:autoSpaceDN/>
        <w:adjustRightInd/>
        <w:snapToGrid w:val="0"/>
        <w:spacing w:line="500" w:lineRule="exact"/>
        <w:ind w:firstLine="316" w:firstLineChars="150"/>
        <w:jc w:val="both"/>
        <w:rPr>
          <w:rFonts w:hAnsi="宋体" w:cs="宋体"/>
          <w:b/>
          <w:sz w:val="21"/>
          <w:szCs w:val="21"/>
          <w:highlight w:val="none"/>
        </w:rPr>
      </w:pPr>
      <w:bookmarkStart w:id="12" w:name="_Toc28359079"/>
      <w:bookmarkStart w:id="13" w:name="_Toc35393621"/>
      <w:bookmarkStart w:id="14" w:name="_Toc35393790"/>
      <w:bookmarkStart w:id="15" w:name="_Toc28359002"/>
      <w:bookmarkStart w:id="16" w:name="_Hlk24379207"/>
      <w:r>
        <w:rPr>
          <w:rFonts w:hint="eastAsia" w:hAnsi="宋体" w:cs="宋体"/>
          <w:b/>
          <w:sz w:val="21"/>
          <w:szCs w:val="21"/>
          <w:highlight w:val="none"/>
        </w:rPr>
        <w:t>一、项目基本情况</w:t>
      </w:r>
      <w:bookmarkEnd w:id="12"/>
      <w:bookmarkEnd w:id="13"/>
      <w:bookmarkEnd w:id="14"/>
      <w:bookmarkEnd w:id="15"/>
    </w:p>
    <w:p>
      <w:pPr>
        <w:tabs>
          <w:tab w:val="left" w:pos="1260"/>
        </w:tabs>
        <w:autoSpaceDE/>
        <w:autoSpaceDN/>
        <w:adjustRightInd/>
        <w:snapToGrid w:val="0"/>
        <w:spacing w:line="500" w:lineRule="exact"/>
        <w:ind w:firstLine="316" w:firstLineChars="150"/>
        <w:jc w:val="both"/>
        <w:rPr>
          <w:rFonts w:hint="eastAsia" w:hAnsi="宋体" w:eastAsia="宋体" w:cs="宋体"/>
          <w:b/>
          <w:sz w:val="21"/>
          <w:szCs w:val="21"/>
          <w:highlight w:val="none"/>
          <w:lang w:eastAsia="zh-CN"/>
        </w:rPr>
      </w:pPr>
      <w:r>
        <w:rPr>
          <w:rFonts w:hint="eastAsia" w:hAnsi="宋体" w:cs="宋体"/>
          <w:b/>
          <w:sz w:val="21"/>
          <w:szCs w:val="21"/>
          <w:highlight w:val="none"/>
        </w:rPr>
        <w:t>项目编号：</w:t>
      </w:r>
      <w:r>
        <w:rPr>
          <w:rFonts w:hint="eastAsia" w:hAnsi="宋体" w:cs="宋体"/>
          <w:b/>
          <w:sz w:val="21"/>
          <w:szCs w:val="21"/>
          <w:highlight w:val="none"/>
          <w:lang w:eastAsia="zh-CN"/>
        </w:rPr>
        <w:t>TY2022-FW342-ZFCG342</w:t>
      </w:r>
    </w:p>
    <w:p>
      <w:pPr>
        <w:tabs>
          <w:tab w:val="left" w:pos="1260"/>
        </w:tabs>
        <w:autoSpaceDE/>
        <w:autoSpaceDN/>
        <w:adjustRightInd/>
        <w:snapToGrid w:val="0"/>
        <w:spacing w:line="500" w:lineRule="exact"/>
        <w:ind w:firstLine="316" w:firstLineChars="150"/>
        <w:jc w:val="both"/>
        <w:rPr>
          <w:rFonts w:hAnsi="宋体" w:cs="宋体"/>
          <w:b/>
          <w:sz w:val="21"/>
          <w:szCs w:val="21"/>
          <w:highlight w:val="none"/>
        </w:rPr>
      </w:pPr>
      <w:r>
        <w:rPr>
          <w:rFonts w:hint="eastAsia" w:hAnsi="宋体" w:cs="宋体"/>
          <w:b/>
          <w:sz w:val="21"/>
          <w:szCs w:val="21"/>
          <w:highlight w:val="none"/>
        </w:rPr>
        <w:t xml:space="preserve">政府采购计划文号：临[2022]13595号   </w:t>
      </w:r>
    </w:p>
    <w:p>
      <w:pPr>
        <w:tabs>
          <w:tab w:val="left" w:pos="1260"/>
        </w:tabs>
        <w:autoSpaceDE/>
        <w:autoSpaceDN/>
        <w:adjustRightInd/>
        <w:snapToGrid w:val="0"/>
        <w:spacing w:line="500" w:lineRule="exact"/>
        <w:ind w:firstLine="316" w:firstLineChars="150"/>
        <w:jc w:val="both"/>
        <w:rPr>
          <w:rFonts w:hAnsi="宋体" w:cs="宋体"/>
          <w:b/>
          <w:sz w:val="21"/>
          <w:szCs w:val="21"/>
          <w:highlight w:val="none"/>
        </w:rPr>
      </w:pPr>
      <w:r>
        <w:rPr>
          <w:rFonts w:hint="eastAsia" w:hAnsi="宋体" w:cs="宋体"/>
          <w:b/>
          <w:sz w:val="21"/>
          <w:szCs w:val="21"/>
          <w:highlight w:val="none"/>
        </w:rPr>
        <w:t>采购组织类型：分散采购委托代理</w:t>
      </w:r>
      <w:r>
        <w:rPr>
          <w:rFonts w:hint="eastAsia" w:hAnsi="宋体" w:cs="宋体"/>
          <w:b/>
          <w:sz w:val="21"/>
          <w:szCs w:val="21"/>
          <w:highlight w:val="none"/>
        </w:rPr>
        <w:tab/>
      </w:r>
    </w:p>
    <w:p>
      <w:pPr>
        <w:tabs>
          <w:tab w:val="left" w:pos="1260"/>
        </w:tabs>
        <w:autoSpaceDE/>
        <w:autoSpaceDN/>
        <w:adjustRightInd/>
        <w:snapToGrid w:val="0"/>
        <w:spacing w:line="500" w:lineRule="exact"/>
        <w:ind w:firstLine="316" w:firstLineChars="150"/>
        <w:jc w:val="both"/>
        <w:rPr>
          <w:rFonts w:hAnsi="宋体" w:cs="宋体"/>
          <w:b/>
          <w:sz w:val="21"/>
          <w:szCs w:val="21"/>
          <w:highlight w:val="none"/>
        </w:rPr>
      </w:pPr>
      <w:r>
        <w:rPr>
          <w:rFonts w:hint="eastAsia" w:hAnsi="宋体" w:cs="宋体"/>
          <w:b/>
          <w:sz w:val="21"/>
          <w:szCs w:val="21"/>
          <w:highlight w:val="none"/>
        </w:rPr>
        <w:t>招标方式：公开招标</w:t>
      </w:r>
    </w:p>
    <w:p>
      <w:pPr>
        <w:tabs>
          <w:tab w:val="left" w:pos="1260"/>
        </w:tabs>
        <w:autoSpaceDE/>
        <w:autoSpaceDN/>
        <w:adjustRightInd/>
        <w:snapToGrid w:val="0"/>
        <w:spacing w:line="500" w:lineRule="exact"/>
        <w:ind w:firstLine="316" w:firstLineChars="150"/>
        <w:jc w:val="both"/>
        <w:rPr>
          <w:rFonts w:hint="eastAsia" w:hAnsi="宋体" w:eastAsia="宋体" w:cs="宋体"/>
          <w:sz w:val="21"/>
          <w:szCs w:val="21"/>
          <w:highlight w:val="none"/>
          <w:lang w:eastAsia="zh-CN"/>
        </w:rPr>
      </w:pPr>
      <w:r>
        <w:rPr>
          <w:rFonts w:hint="eastAsia" w:hAnsi="宋体" w:cs="宋体"/>
          <w:b/>
          <w:sz w:val="21"/>
          <w:szCs w:val="21"/>
          <w:highlight w:val="none"/>
        </w:rPr>
        <w:t>项目名称：</w:t>
      </w:r>
      <w:r>
        <w:rPr>
          <w:rFonts w:hint="eastAsia" w:hAnsi="宋体" w:cs="宋体"/>
          <w:b/>
          <w:bCs/>
          <w:sz w:val="21"/>
          <w:szCs w:val="21"/>
          <w:highlight w:val="none"/>
        </w:rPr>
        <w:t>金华市固体废物管理中心关于固体废物全过程</w:t>
      </w:r>
      <w:r>
        <w:rPr>
          <w:rFonts w:hint="eastAsia" w:hAnsi="宋体" w:cs="宋体"/>
          <w:b/>
          <w:bCs/>
          <w:sz w:val="21"/>
          <w:szCs w:val="21"/>
          <w:highlight w:val="none"/>
          <w:lang w:eastAsia="zh-CN"/>
        </w:rPr>
        <w:t>管理平台运行及维护项目</w:t>
      </w:r>
    </w:p>
    <w:bookmarkEnd w:id="16"/>
    <w:p>
      <w:pPr>
        <w:tabs>
          <w:tab w:val="left" w:pos="1260"/>
        </w:tabs>
        <w:autoSpaceDE/>
        <w:autoSpaceDN/>
        <w:adjustRightInd/>
        <w:snapToGrid w:val="0"/>
        <w:spacing w:line="500" w:lineRule="exact"/>
        <w:ind w:firstLine="316" w:firstLineChars="150"/>
        <w:jc w:val="both"/>
        <w:rPr>
          <w:rFonts w:hint="eastAsia" w:hAnsi="宋体" w:eastAsia="宋体" w:cs="宋体"/>
          <w:b/>
          <w:sz w:val="21"/>
          <w:szCs w:val="21"/>
          <w:highlight w:val="none"/>
          <w:lang w:eastAsia="zh-CN"/>
        </w:rPr>
      </w:pPr>
      <w:r>
        <w:rPr>
          <w:rFonts w:hint="eastAsia" w:hAnsi="宋体" w:cs="宋体"/>
          <w:b/>
          <w:sz w:val="21"/>
          <w:szCs w:val="21"/>
          <w:highlight w:val="none"/>
        </w:rPr>
        <w:t>预算金额（人民币）：</w:t>
      </w:r>
      <w:r>
        <w:rPr>
          <w:rFonts w:hint="eastAsia" w:hAnsi="宋体" w:cs="宋体"/>
          <w:b/>
          <w:sz w:val="21"/>
          <w:szCs w:val="21"/>
          <w:highlight w:val="none"/>
          <w:lang w:eastAsia="zh-CN"/>
        </w:rPr>
        <w:t>220万元</w:t>
      </w:r>
    </w:p>
    <w:p>
      <w:pPr>
        <w:tabs>
          <w:tab w:val="left" w:pos="1260"/>
        </w:tabs>
        <w:autoSpaceDE/>
        <w:autoSpaceDN/>
        <w:adjustRightInd/>
        <w:snapToGrid w:val="0"/>
        <w:spacing w:line="500" w:lineRule="exact"/>
        <w:ind w:firstLine="316" w:firstLineChars="150"/>
        <w:jc w:val="both"/>
        <w:rPr>
          <w:rFonts w:hint="eastAsia" w:hAnsi="宋体" w:eastAsia="宋体" w:cs="宋体"/>
          <w:b/>
          <w:sz w:val="21"/>
          <w:szCs w:val="21"/>
          <w:highlight w:val="none"/>
          <w:lang w:eastAsia="zh-CN"/>
        </w:rPr>
      </w:pPr>
      <w:r>
        <w:rPr>
          <w:rFonts w:hint="eastAsia" w:hAnsi="宋体" w:cs="宋体"/>
          <w:b/>
          <w:sz w:val="21"/>
          <w:szCs w:val="21"/>
          <w:highlight w:val="none"/>
        </w:rPr>
        <w:t>最高限价（人民币）：</w:t>
      </w:r>
      <w:r>
        <w:rPr>
          <w:rFonts w:hint="eastAsia" w:hAnsi="宋体" w:cs="宋体"/>
          <w:b/>
          <w:sz w:val="21"/>
          <w:szCs w:val="21"/>
          <w:highlight w:val="none"/>
          <w:lang w:eastAsia="zh-CN"/>
        </w:rPr>
        <w:t>220万元</w:t>
      </w:r>
    </w:p>
    <w:p>
      <w:pPr>
        <w:tabs>
          <w:tab w:val="left" w:pos="1260"/>
        </w:tabs>
        <w:autoSpaceDE/>
        <w:autoSpaceDN/>
        <w:adjustRightInd/>
        <w:snapToGrid w:val="0"/>
        <w:spacing w:line="500" w:lineRule="exact"/>
        <w:ind w:firstLine="316" w:firstLineChars="150"/>
        <w:jc w:val="both"/>
        <w:rPr>
          <w:rFonts w:hAnsi="宋体" w:cs="宋体"/>
          <w:sz w:val="21"/>
          <w:szCs w:val="21"/>
          <w:highlight w:val="none"/>
        </w:rPr>
      </w:pPr>
      <w:r>
        <w:rPr>
          <w:rFonts w:hint="eastAsia" w:hAnsi="宋体" w:cs="宋体"/>
          <w:b/>
          <w:sz w:val="21"/>
          <w:szCs w:val="21"/>
          <w:highlight w:val="none"/>
        </w:rPr>
        <w:t>采购需求</w:t>
      </w:r>
      <w:r>
        <w:rPr>
          <w:rFonts w:hint="eastAsia" w:hAnsi="宋体" w:cs="宋体"/>
          <w:sz w:val="21"/>
          <w:szCs w:val="21"/>
          <w:highlight w:val="none"/>
        </w:rPr>
        <w:t xml:space="preserve">： </w:t>
      </w:r>
    </w:p>
    <w:tbl>
      <w:tblPr>
        <w:tblStyle w:val="46"/>
        <w:tblW w:w="922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321"/>
        <w:gridCol w:w="5280"/>
        <w:gridCol w:w="900"/>
        <w:gridCol w:w="1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32"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序号</w:t>
            </w:r>
          </w:p>
        </w:tc>
        <w:tc>
          <w:tcPr>
            <w:tcW w:w="1321"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采购内容</w:t>
            </w:r>
          </w:p>
        </w:tc>
        <w:tc>
          <w:tcPr>
            <w:tcW w:w="5280"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要求</w:t>
            </w:r>
          </w:p>
        </w:tc>
        <w:tc>
          <w:tcPr>
            <w:tcW w:w="900"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数量</w:t>
            </w:r>
          </w:p>
        </w:tc>
        <w:tc>
          <w:tcPr>
            <w:tcW w:w="1094"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预算金额</w:t>
            </w:r>
          </w:p>
          <w:p>
            <w:pPr>
              <w:widowControl/>
              <w:spacing w:line="460" w:lineRule="exact"/>
              <w:jc w:val="center"/>
              <w:rPr>
                <w:rFonts w:hAnsi="宋体" w:cs="宋体"/>
                <w:sz w:val="21"/>
                <w:szCs w:val="21"/>
                <w:highlight w:val="none"/>
              </w:rPr>
            </w:pPr>
            <w:r>
              <w:rPr>
                <w:rFonts w:hint="eastAsia" w:hAnsi="宋体" w:cs="宋体"/>
                <w:sz w:val="21"/>
                <w:szCs w:val="21"/>
                <w:highlight w:val="none"/>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32"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1</w:t>
            </w:r>
          </w:p>
        </w:tc>
        <w:tc>
          <w:tcPr>
            <w:tcW w:w="1321" w:type="dxa"/>
            <w:vAlign w:val="center"/>
          </w:tcPr>
          <w:p>
            <w:pPr>
              <w:tabs>
                <w:tab w:val="left" w:pos="1260"/>
              </w:tabs>
              <w:autoSpaceDE/>
              <w:autoSpaceDN/>
              <w:adjustRightInd/>
              <w:spacing w:line="460" w:lineRule="exact"/>
              <w:jc w:val="center"/>
              <w:rPr>
                <w:rFonts w:hint="eastAsia" w:hAnsi="宋体" w:eastAsia="宋体" w:cs="宋体"/>
                <w:sz w:val="21"/>
                <w:szCs w:val="21"/>
                <w:highlight w:val="none"/>
                <w:lang w:eastAsia="zh-CN"/>
              </w:rPr>
            </w:pPr>
            <w:r>
              <w:rPr>
                <w:rFonts w:hint="eastAsia" w:hAnsi="宋体" w:cs="宋体"/>
                <w:sz w:val="21"/>
                <w:szCs w:val="21"/>
                <w:highlight w:val="none"/>
              </w:rPr>
              <w:t>金华市固体废物管理中心关于固体废物全过程</w:t>
            </w:r>
            <w:r>
              <w:rPr>
                <w:rFonts w:hint="eastAsia" w:hAnsi="宋体" w:cs="宋体"/>
                <w:sz w:val="21"/>
                <w:szCs w:val="21"/>
                <w:highlight w:val="none"/>
                <w:lang w:eastAsia="zh-CN"/>
              </w:rPr>
              <w:t>管理平台运行及维护项目</w:t>
            </w:r>
          </w:p>
        </w:tc>
        <w:tc>
          <w:tcPr>
            <w:tcW w:w="5280" w:type="dxa"/>
            <w:vAlign w:val="center"/>
          </w:tcPr>
          <w:p>
            <w:pPr>
              <w:widowControl/>
              <w:tabs>
                <w:tab w:val="left" w:pos="1260"/>
              </w:tabs>
              <w:autoSpaceDE/>
              <w:autoSpaceDN/>
              <w:adjustRightInd/>
              <w:spacing w:line="460" w:lineRule="exact"/>
              <w:rPr>
                <w:rFonts w:hAnsi="宋体" w:cs="宋体"/>
                <w:sz w:val="21"/>
                <w:szCs w:val="21"/>
                <w:highlight w:val="none"/>
              </w:rPr>
            </w:pPr>
            <w:r>
              <w:rPr>
                <w:rFonts w:hint="eastAsia" w:hAnsi="宋体" w:cs="宋体"/>
                <w:sz w:val="21"/>
                <w:szCs w:val="21"/>
                <w:highlight w:val="none"/>
              </w:rPr>
              <w:t>根据《浙江省人民政府办公厅关于印发浙江省强化危险废物监管和利用处置能力改革实施方案的通知》、《省生态环境厅省公安厅关于做好工业固体废物精密智控闭环监管数字化改革试点工作的通知》等文件要求，我市需开展危险废物持证经营单位、小微收集点、重点产废企业智能监控措施，建立一个有序的固体废物全过程信息化管理平台，实时有效的监控固体废弃物从产生到处置的整个生命周期，联网企业实现危险废物产生、</w:t>
            </w:r>
            <w:r>
              <w:rPr>
                <w:rFonts w:hint="eastAsia" w:hAnsi="宋体" w:cs="宋体"/>
                <w:sz w:val="21"/>
                <w:szCs w:val="21"/>
                <w:highlight w:val="none"/>
                <w:lang w:bidi="ar"/>
              </w:rPr>
              <w:t>贮存、运输、处置等环节全过程监管。</w:t>
            </w:r>
            <w:r>
              <w:rPr>
                <w:rFonts w:hint="eastAsia" w:hAnsi="宋体" w:cs="宋体"/>
                <w:sz w:val="21"/>
                <w:szCs w:val="21"/>
                <w:highlight w:val="none"/>
              </w:rPr>
              <w:t>具体要求详见“第二章招标需求”。</w:t>
            </w:r>
          </w:p>
        </w:tc>
        <w:tc>
          <w:tcPr>
            <w:tcW w:w="900"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1项</w:t>
            </w:r>
          </w:p>
        </w:tc>
        <w:tc>
          <w:tcPr>
            <w:tcW w:w="1094" w:type="dxa"/>
            <w:vAlign w:val="center"/>
          </w:tcPr>
          <w:p>
            <w:pPr>
              <w:widowControl/>
              <w:tabs>
                <w:tab w:val="left" w:pos="1260"/>
              </w:tabs>
              <w:autoSpaceDE/>
              <w:autoSpaceDN/>
              <w:adjustRightInd/>
              <w:snapToGrid w:val="0"/>
              <w:spacing w:line="460" w:lineRule="exact"/>
              <w:jc w:val="center"/>
              <w:rPr>
                <w:rFonts w:hint="eastAsia" w:hAnsi="宋体" w:eastAsia="宋体" w:cs="宋体"/>
                <w:bCs/>
                <w:sz w:val="21"/>
                <w:szCs w:val="21"/>
                <w:highlight w:val="none"/>
                <w:lang w:eastAsia="zh-CN"/>
              </w:rPr>
            </w:pPr>
            <w:r>
              <w:rPr>
                <w:rFonts w:hint="eastAsia" w:hAnsi="宋体" w:cs="宋体"/>
                <w:bCs/>
                <w:sz w:val="21"/>
                <w:szCs w:val="21"/>
                <w:highlight w:val="none"/>
                <w:lang w:eastAsia="zh-CN"/>
              </w:rPr>
              <w:t>220万元</w:t>
            </w:r>
          </w:p>
        </w:tc>
      </w:tr>
    </w:tbl>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本项目不接受联合体投标。</w:t>
      </w:r>
    </w:p>
    <w:p>
      <w:pPr>
        <w:tabs>
          <w:tab w:val="left" w:pos="1260"/>
        </w:tabs>
        <w:autoSpaceDE/>
        <w:autoSpaceDN/>
        <w:snapToGrid w:val="0"/>
        <w:spacing w:line="500" w:lineRule="exact"/>
        <w:ind w:firstLine="422" w:firstLineChars="200"/>
        <w:rPr>
          <w:rFonts w:hAnsi="宋体" w:cs="宋体"/>
          <w:b/>
          <w:sz w:val="21"/>
          <w:szCs w:val="21"/>
          <w:highlight w:val="none"/>
        </w:rPr>
      </w:pPr>
      <w:bookmarkStart w:id="17" w:name="_Toc28359003"/>
      <w:bookmarkStart w:id="18" w:name="_Toc28359080"/>
      <w:bookmarkStart w:id="19" w:name="_Toc35393791"/>
      <w:bookmarkStart w:id="20" w:name="_Toc35393622"/>
      <w:r>
        <w:rPr>
          <w:rFonts w:hint="eastAsia" w:hAnsi="宋体" w:cs="宋体"/>
          <w:b/>
          <w:sz w:val="21"/>
          <w:szCs w:val="21"/>
          <w:highlight w:val="none"/>
        </w:rPr>
        <w:t>二、申请人的资格要求：</w:t>
      </w:r>
      <w:bookmarkEnd w:id="17"/>
      <w:bookmarkEnd w:id="18"/>
      <w:bookmarkEnd w:id="19"/>
      <w:bookmarkEnd w:id="20"/>
    </w:p>
    <w:p>
      <w:pPr>
        <w:tabs>
          <w:tab w:val="left" w:pos="1260"/>
        </w:tabs>
        <w:autoSpaceDE/>
        <w:autoSpaceDN/>
        <w:snapToGrid w:val="0"/>
        <w:spacing w:line="500" w:lineRule="exact"/>
        <w:ind w:firstLine="420" w:firstLineChars="200"/>
        <w:rPr>
          <w:rFonts w:hAnsi="宋体" w:cs="宋体"/>
          <w:sz w:val="21"/>
          <w:szCs w:val="21"/>
          <w:highlight w:val="none"/>
        </w:rPr>
      </w:pPr>
      <w:bookmarkStart w:id="21" w:name="_Toc28359004"/>
      <w:bookmarkStart w:id="22" w:name="_Toc28359081"/>
      <w:r>
        <w:rPr>
          <w:rFonts w:hint="eastAsia" w:hAnsi="宋体" w:cs="宋体"/>
          <w:sz w:val="21"/>
          <w:szCs w:val="21"/>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pPr>
        <w:widowControl/>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2.落实政策：</w:t>
      </w:r>
    </w:p>
    <w:p>
      <w:pPr>
        <w:widowControl/>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（1）落实政府采购政策需满足的资格要求：</w:t>
      </w:r>
    </w:p>
    <w:p>
      <w:pPr>
        <w:spacing w:line="500" w:lineRule="exact"/>
        <w:ind w:firstLine="420" w:firstLineChars="200"/>
        <w:rPr>
          <w:rFonts w:hAnsi="宋体" w:cs="宋体"/>
          <w:sz w:val="21"/>
          <w:szCs w:val="21"/>
          <w:highlight w:val="none"/>
        </w:rPr>
      </w:pPr>
      <w:r>
        <w:rPr>
          <w:rFonts w:hint="eastAsia" w:hAnsi="宋体" w:cs="宋体"/>
          <w:sz w:val="21"/>
          <w:szCs w:val="21"/>
          <w:highlight w:val="none"/>
        </w:rPr>
        <w:sym w:font="Wingdings" w:char="F0FE"/>
      </w:r>
      <w:r>
        <w:rPr>
          <w:rFonts w:hint="eastAsia" w:hAnsi="宋体" w:cs="宋体"/>
          <w:sz w:val="21"/>
          <w:szCs w:val="21"/>
          <w:highlight w:val="none"/>
        </w:rPr>
        <w:t>无；</w:t>
      </w:r>
    </w:p>
    <w:p>
      <w:pPr>
        <w:pStyle w:val="43"/>
        <w:adjustRightInd w:val="0"/>
        <w:snapToGrid w:val="0"/>
        <w:spacing w:before="0" w:beforeAutospacing="0" w:after="0" w:afterAutospacing="0" w:line="500" w:lineRule="exact"/>
        <w:ind w:firstLine="420" w:firstLineChars="200"/>
        <w:rPr>
          <w:rStyle w:val="49"/>
          <w:rFonts w:ascii="宋体" w:hAnsi="宋体" w:cs="宋体"/>
          <w:sz w:val="21"/>
          <w:szCs w:val="21"/>
          <w:highlight w:val="none"/>
          <w:shd w:val="clear" w:color="auto" w:fill="FFFFFF"/>
        </w:rPr>
      </w:pPr>
      <w:r>
        <w:rPr>
          <w:rFonts w:hint="eastAsia" w:ascii="宋体" w:cs="宋体"/>
          <w:sz w:val="21"/>
          <w:szCs w:val="21"/>
          <w:highlight w:val="none"/>
          <w:lang w:bidi="ar"/>
        </w:rPr>
        <w:t>（2）采购项目需要落实的政府采购政策：执行节约能源、保护环境相关的节能产品政府强制采购和优先采购政策，执行环境标志产品政府优先采购政策；执行扶持不发达地区和少数民族地区、促进中小企业发展、支持监狱企业发展、促进残疾人就业、支持中小企业信用融资等政府采购政策。 </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3.本项目的特定资格要求：</w:t>
      </w:r>
      <w:bookmarkEnd w:id="21"/>
      <w:bookmarkEnd w:id="22"/>
      <w:bookmarkStart w:id="23" w:name="_Toc28359008"/>
      <w:bookmarkStart w:id="24" w:name="_Toc35393796"/>
      <w:bookmarkStart w:id="25" w:name="_Toc28359085"/>
      <w:bookmarkStart w:id="26" w:name="_Toc35393627"/>
      <w:r>
        <w:rPr>
          <w:rFonts w:hint="eastAsia" w:ascii="宋体" w:cs="宋体"/>
          <w:sz w:val="21"/>
          <w:szCs w:val="21"/>
          <w:highlight w:val="none"/>
          <w:shd w:val="clear" w:color="auto" w:fill="FFFFFF"/>
        </w:rPr>
        <w:t>无。</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rPr>
      </w:pPr>
      <w:r>
        <w:rPr>
          <w:rFonts w:hint="eastAsia" w:ascii="宋体" w:cs="宋体"/>
          <w:sz w:val="21"/>
          <w:szCs w:val="21"/>
          <w:highlight w:val="none"/>
        </w:rPr>
        <w:t>4.公益一类事业单位不属于政府购买服务的承接主体，不得参与本项目投标。</w:t>
      </w:r>
    </w:p>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三、获取招标文件</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 xml:space="preserve">1.时间：本项目公告发布之日起至2022年 </w:t>
      </w:r>
      <w:r>
        <w:rPr>
          <w:rFonts w:hint="eastAsia" w:hAnsi="宋体" w:cs="宋体"/>
          <w:sz w:val="21"/>
          <w:szCs w:val="21"/>
          <w:highlight w:val="none"/>
          <w:lang w:val="en-US" w:eastAsia="zh-CN"/>
        </w:rPr>
        <w:t>12</w:t>
      </w:r>
      <w:r>
        <w:rPr>
          <w:rFonts w:hint="eastAsia" w:hAnsi="宋体" w:cs="宋体"/>
          <w:sz w:val="21"/>
          <w:szCs w:val="21"/>
          <w:highlight w:val="none"/>
        </w:rPr>
        <w:t xml:space="preserve"> 月</w:t>
      </w:r>
      <w:r>
        <w:rPr>
          <w:rFonts w:hint="eastAsia" w:hAnsi="宋体" w:cs="宋体"/>
          <w:sz w:val="21"/>
          <w:szCs w:val="21"/>
          <w:highlight w:val="none"/>
          <w:lang w:val="en-US" w:eastAsia="zh-CN"/>
        </w:rPr>
        <w:t>08</w:t>
      </w:r>
      <w:r>
        <w:rPr>
          <w:rFonts w:hint="eastAsia" w:hAnsi="宋体" w:cs="宋体"/>
          <w:sz w:val="21"/>
          <w:szCs w:val="21"/>
          <w:highlight w:val="none"/>
        </w:rPr>
        <w:t>日止，每天上午00:00至12:00，下午12:00至23:59（北京时间）</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rPr>
      </w:pPr>
      <w:r>
        <w:rPr>
          <w:rFonts w:hint="eastAsia" w:ascii="宋体" w:cs="宋体"/>
          <w:sz w:val="21"/>
          <w:szCs w:val="21"/>
          <w:highlight w:val="none"/>
          <w:shd w:val="clear" w:color="auto" w:fill="FFFFFF"/>
        </w:rPr>
        <w:t xml:space="preserve">     地点（网址）：政采云平台线上获取。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2.招标文件获取地址：登录政采云平台--后台项目采购板块点击申请获取采购文件。</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3.获取采购文件方式：投标人自行登录浙江省“政采云”平台（网址https://www.zcygov.cn）获取采购文件（投标人线上获取采购文件的流程：投标人登录浙江省“政采云”平台并进入【项目采购】应用模块，点击左侧菜单的【获取采购文件】，点击对应项目的【申请获取采购文件】按钮，填写获取采购文件申请信息后，点右下角【确定】按钮提交）。 </w:t>
      </w:r>
    </w:p>
    <w:p>
      <w:pPr>
        <w:autoSpaceDE/>
        <w:autoSpaceDN/>
        <w:snapToGrid w:val="0"/>
        <w:spacing w:line="500" w:lineRule="exact"/>
        <w:ind w:firstLine="422" w:firstLineChars="200"/>
        <w:rPr>
          <w:rStyle w:val="49"/>
          <w:rFonts w:ascii="宋体" w:hAnsi="宋体" w:cs="宋体"/>
          <w:sz w:val="21"/>
          <w:szCs w:val="21"/>
          <w:highlight w:val="none"/>
        </w:rPr>
      </w:pPr>
      <w:r>
        <w:rPr>
          <w:rStyle w:val="49"/>
          <w:rFonts w:hint="eastAsia" w:ascii="宋体" w:hAnsi="宋体" w:cs="宋体"/>
          <w:sz w:val="21"/>
          <w:szCs w:val="21"/>
          <w:highlight w:val="none"/>
        </w:rPr>
        <w:t>注：</w:t>
      </w:r>
    </w:p>
    <w:p>
      <w:pPr>
        <w:pStyle w:val="2"/>
        <w:autoSpaceDE/>
        <w:autoSpaceDN/>
        <w:adjustRightInd w:val="0"/>
        <w:snapToGrid w:val="0"/>
        <w:spacing w:after="0" w:line="500" w:lineRule="exact"/>
        <w:ind w:left="0" w:leftChars="0" w:firstLine="422" w:firstLineChars="200"/>
        <w:jc w:val="left"/>
        <w:rPr>
          <w:rFonts w:ascii="宋体" w:hAnsi="宋体" w:cs="宋体"/>
          <w:b/>
          <w:bCs/>
          <w:kern w:val="0"/>
          <w:sz w:val="21"/>
          <w:szCs w:val="21"/>
          <w:highlight w:val="none"/>
        </w:rPr>
      </w:pPr>
      <w:r>
        <w:rPr>
          <w:rFonts w:hint="eastAsia" w:ascii="宋体" w:hAnsi="宋体" w:cs="宋体"/>
          <w:b/>
          <w:bCs/>
          <w:kern w:val="0"/>
          <w:sz w:val="21"/>
          <w:szCs w:val="21"/>
          <w:highlight w:val="none"/>
        </w:rPr>
        <w:t>（1）浙江政府采购网上随公告发布的采购文件仅供阅览；投标人应按上述方式获取采购文件；未按上述方式完成获取采购文件流程的，不得对采购文件提起质疑投诉。同时请投标人在参加投标前随时关注项目的可能更正公告情况。</w:t>
      </w:r>
    </w:p>
    <w:p>
      <w:pPr>
        <w:autoSpaceDE/>
        <w:autoSpaceDN/>
        <w:snapToGrid w:val="0"/>
        <w:spacing w:line="500" w:lineRule="exact"/>
        <w:ind w:firstLine="422" w:firstLineChars="200"/>
        <w:rPr>
          <w:rFonts w:hAnsi="宋体" w:cs="宋体"/>
          <w:highlight w:val="none"/>
        </w:rPr>
      </w:pPr>
      <w:r>
        <w:rPr>
          <w:rFonts w:hint="eastAsia" w:hAnsi="宋体" w:cs="宋体"/>
          <w:b/>
          <w:bCs/>
          <w:sz w:val="21"/>
          <w:szCs w:val="21"/>
          <w:highlight w:val="none"/>
        </w:rPr>
        <w:t>（2）采购代理机构将拒绝接</w:t>
      </w:r>
      <w:r>
        <w:rPr>
          <w:rStyle w:val="49"/>
          <w:rFonts w:hint="eastAsia" w:ascii="宋体" w:hAnsi="宋体" w:cs="宋体"/>
          <w:sz w:val="21"/>
          <w:szCs w:val="21"/>
          <w:highlight w:val="none"/>
        </w:rPr>
        <w:t>受非报名人的投标文件。</w:t>
      </w:r>
    </w:p>
    <w:p>
      <w:pPr>
        <w:tabs>
          <w:tab w:val="left" w:pos="1260"/>
        </w:tabs>
        <w:autoSpaceDE/>
        <w:autoSpaceDN/>
        <w:snapToGrid w:val="0"/>
        <w:spacing w:line="500" w:lineRule="exact"/>
        <w:ind w:firstLine="422" w:firstLineChars="200"/>
        <w:rPr>
          <w:rFonts w:hAnsi="宋体" w:cs="宋体"/>
          <w:b/>
          <w:sz w:val="21"/>
          <w:szCs w:val="21"/>
          <w:highlight w:val="none"/>
        </w:rPr>
      </w:pPr>
      <w:bookmarkStart w:id="27" w:name="_Toc28359082"/>
      <w:bookmarkStart w:id="28" w:name="_Toc28359005"/>
      <w:bookmarkStart w:id="29" w:name="_Toc35393624"/>
      <w:bookmarkStart w:id="30" w:name="_Toc35393793"/>
      <w:r>
        <w:rPr>
          <w:rFonts w:hint="eastAsia" w:hAnsi="宋体" w:cs="宋体"/>
          <w:b/>
          <w:sz w:val="21"/>
          <w:szCs w:val="21"/>
          <w:highlight w:val="none"/>
        </w:rPr>
        <w:t>四、提交投标文件</w:t>
      </w:r>
      <w:bookmarkEnd w:id="27"/>
      <w:bookmarkEnd w:id="28"/>
      <w:r>
        <w:rPr>
          <w:rFonts w:hint="eastAsia" w:hAnsi="宋体" w:cs="宋体"/>
          <w:b/>
          <w:sz w:val="21"/>
          <w:szCs w:val="21"/>
          <w:highlight w:val="none"/>
        </w:rPr>
        <w:t>截止时间、开标时间和地点</w:t>
      </w:r>
      <w:bookmarkEnd w:id="29"/>
      <w:bookmarkEnd w:id="30"/>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1.提交投标文件截止时间： 2022</w:t>
      </w:r>
      <w:r>
        <w:rPr>
          <w:rFonts w:hint="eastAsia" w:hAnsi="宋体" w:cs="宋体"/>
          <w:bCs/>
          <w:sz w:val="21"/>
          <w:szCs w:val="21"/>
          <w:highlight w:val="none"/>
        </w:rPr>
        <w:t xml:space="preserve">年 </w:t>
      </w:r>
      <w:r>
        <w:rPr>
          <w:rFonts w:hint="eastAsia" w:hAnsi="宋体" w:cs="宋体"/>
          <w:bCs/>
          <w:sz w:val="21"/>
          <w:szCs w:val="21"/>
          <w:highlight w:val="none"/>
          <w:lang w:val="en-US" w:eastAsia="zh-CN"/>
        </w:rPr>
        <w:t>12</w:t>
      </w:r>
      <w:r>
        <w:rPr>
          <w:rFonts w:hint="eastAsia" w:hAnsi="宋体" w:cs="宋体"/>
          <w:bCs/>
          <w:sz w:val="21"/>
          <w:szCs w:val="21"/>
          <w:highlight w:val="none"/>
        </w:rPr>
        <w:t>月</w:t>
      </w:r>
      <w:r>
        <w:rPr>
          <w:rFonts w:hint="eastAsia" w:hAnsi="宋体" w:cs="宋体"/>
          <w:bCs/>
          <w:sz w:val="21"/>
          <w:szCs w:val="21"/>
          <w:highlight w:val="none"/>
          <w:lang w:val="en-US" w:eastAsia="zh-CN"/>
        </w:rPr>
        <w:t>08</w:t>
      </w:r>
      <w:r>
        <w:rPr>
          <w:rFonts w:hint="eastAsia" w:hAnsi="宋体" w:cs="宋体"/>
          <w:bCs/>
          <w:sz w:val="21"/>
          <w:szCs w:val="21"/>
          <w:highlight w:val="none"/>
        </w:rPr>
        <w:t xml:space="preserve"> 日</w:t>
      </w:r>
      <w:r>
        <w:rPr>
          <w:rFonts w:hint="eastAsia" w:hAnsi="宋体" w:cs="宋体"/>
          <w:bCs/>
          <w:sz w:val="21"/>
          <w:szCs w:val="21"/>
          <w:highlight w:val="none"/>
          <w:lang w:val="en-US" w:eastAsia="zh-CN"/>
        </w:rPr>
        <w:t>09</w:t>
      </w:r>
      <w:r>
        <w:rPr>
          <w:rFonts w:hint="eastAsia" w:hAnsi="宋体" w:cs="宋体"/>
          <w:bCs/>
          <w:sz w:val="21"/>
          <w:szCs w:val="21"/>
          <w:highlight w:val="none"/>
        </w:rPr>
        <w:t>点</w:t>
      </w:r>
      <w:r>
        <w:rPr>
          <w:rFonts w:hint="eastAsia" w:hAnsi="宋体" w:cs="宋体"/>
          <w:bCs/>
          <w:sz w:val="21"/>
          <w:szCs w:val="21"/>
          <w:highlight w:val="none"/>
          <w:lang w:val="en-US" w:eastAsia="zh-CN"/>
        </w:rPr>
        <w:t>3</w:t>
      </w:r>
      <w:r>
        <w:rPr>
          <w:rFonts w:hint="eastAsia" w:hAnsi="宋体" w:cs="宋体"/>
          <w:bCs/>
          <w:sz w:val="21"/>
          <w:szCs w:val="21"/>
          <w:highlight w:val="none"/>
        </w:rPr>
        <w:t>0</w:t>
      </w:r>
      <w:r>
        <w:rPr>
          <w:rFonts w:hint="eastAsia" w:hAnsi="宋体" w:cs="宋体"/>
          <w:sz w:val="21"/>
          <w:szCs w:val="21"/>
          <w:highlight w:val="none"/>
        </w:rPr>
        <w:t>时（北京时间）</w:t>
      </w:r>
    </w:p>
    <w:p>
      <w:pPr>
        <w:pStyle w:val="43"/>
        <w:adjustRightInd w:val="0"/>
        <w:snapToGrid w:val="0"/>
        <w:spacing w:before="0" w:beforeAutospacing="0" w:after="0" w:afterAutospacing="0" w:line="500" w:lineRule="exact"/>
        <w:ind w:firstLine="840" w:firstLineChars="400"/>
        <w:rPr>
          <w:rFonts w:ascii="宋体" w:cs="宋体"/>
          <w:sz w:val="21"/>
          <w:szCs w:val="21"/>
          <w:highlight w:val="none"/>
        </w:rPr>
      </w:pPr>
      <w:r>
        <w:rPr>
          <w:rFonts w:hint="eastAsia" w:ascii="宋体" w:cs="宋体"/>
          <w:sz w:val="21"/>
          <w:szCs w:val="21"/>
          <w:highlight w:val="none"/>
          <w:shd w:val="clear" w:color="auto" w:fill="FFFFFF"/>
        </w:rPr>
        <w:t>投标地点（网址）：通过浙江政府采购网政府采购云平台实行在线投标响应。</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rPr>
      </w:pPr>
      <w:r>
        <w:rPr>
          <w:rFonts w:hint="eastAsia" w:ascii="宋体" w:cs="宋体"/>
          <w:sz w:val="21"/>
          <w:szCs w:val="21"/>
          <w:highlight w:val="none"/>
          <w:shd w:val="clear" w:color="auto" w:fill="FFFFFF"/>
        </w:rPr>
        <w:t xml:space="preserve">  开标时间</w:t>
      </w:r>
      <w:r>
        <w:rPr>
          <w:rFonts w:hint="eastAsia" w:ascii="宋体" w:cs="宋体"/>
          <w:sz w:val="21"/>
          <w:szCs w:val="21"/>
          <w:highlight w:val="none"/>
        </w:rPr>
        <w:t>：</w:t>
      </w:r>
      <w:r>
        <w:rPr>
          <w:rFonts w:hint="eastAsia" w:hAnsi="宋体" w:cs="宋体"/>
          <w:sz w:val="21"/>
          <w:szCs w:val="21"/>
          <w:highlight w:val="none"/>
        </w:rPr>
        <w:t xml:space="preserve"> 2022</w:t>
      </w:r>
      <w:r>
        <w:rPr>
          <w:rFonts w:hint="eastAsia" w:hAnsi="宋体" w:cs="宋体"/>
          <w:bCs/>
          <w:sz w:val="21"/>
          <w:szCs w:val="21"/>
          <w:highlight w:val="none"/>
        </w:rPr>
        <w:t xml:space="preserve">年 </w:t>
      </w:r>
      <w:r>
        <w:rPr>
          <w:rFonts w:hint="eastAsia" w:hAnsi="宋体" w:cs="宋体"/>
          <w:bCs/>
          <w:sz w:val="21"/>
          <w:szCs w:val="21"/>
          <w:highlight w:val="none"/>
          <w:lang w:val="en-US" w:eastAsia="zh-CN"/>
        </w:rPr>
        <w:t>12</w:t>
      </w:r>
      <w:r>
        <w:rPr>
          <w:rFonts w:hint="eastAsia" w:hAnsi="宋体" w:cs="宋体"/>
          <w:bCs/>
          <w:sz w:val="21"/>
          <w:szCs w:val="21"/>
          <w:highlight w:val="none"/>
        </w:rPr>
        <w:t>月</w:t>
      </w:r>
      <w:r>
        <w:rPr>
          <w:rFonts w:hint="eastAsia" w:hAnsi="宋体" w:cs="宋体"/>
          <w:bCs/>
          <w:sz w:val="21"/>
          <w:szCs w:val="21"/>
          <w:highlight w:val="none"/>
          <w:lang w:val="en-US" w:eastAsia="zh-CN"/>
        </w:rPr>
        <w:t>08</w:t>
      </w:r>
      <w:r>
        <w:rPr>
          <w:rFonts w:hint="eastAsia" w:hAnsi="宋体" w:cs="宋体"/>
          <w:bCs/>
          <w:sz w:val="21"/>
          <w:szCs w:val="21"/>
          <w:highlight w:val="none"/>
        </w:rPr>
        <w:t xml:space="preserve"> 日</w:t>
      </w:r>
      <w:r>
        <w:rPr>
          <w:rFonts w:hint="eastAsia" w:hAnsi="宋体" w:cs="宋体"/>
          <w:bCs/>
          <w:sz w:val="21"/>
          <w:szCs w:val="21"/>
          <w:highlight w:val="none"/>
          <w:lang w:val="en-US" w:eastAsia="zh-CN"/>
        </w:rPr>
        <w:t>09</w:t>
      </w:r>
      <w:r>
        <w:rPr>
          <w:rFonts w:hint="eastAsia" w:hAnsi="宋体" w:cs="宋体"/>
          <w:bCs/>
          <w:sz w:val="21"/>
          <w:szCs w:val="21"/>
          <w:highlight w:val="none"/>
        </w:rPr>
        <w:t>点</w:t>
      </w:r>
      <w:r>
        <w:rPr>
          <w:rFonts w:hint="eastAsia" w:hAnsi="宋体" w:cs="宋体"/>
          <w:bCs/>
          <w:sz w:val="21"/>
          <w:szCs w:val="21"/>
          <w:highlight w:val="none"/>
          <w:lang w:val="en-US" w:eastAsia="zh-CN"/>
        </w:rPr>
        <w:t>3</w:t>
      </w:r>
      <w:r>
        <w:rPr>
          <w:rFonts w:hint="eastAsia" w:hAnsi="宋体" w:cs="宋体"/>
          <w:bCs/>
          <w:sz w:val="21"/>
          <w:szCs w:val="21"/>
          <w:highlight w:val="none"/>
        </w:rPr>
        <w:t>0</w:t>
      </w:r>
      <w:r>
        <w:rPr>
          <w:rFonts w:hint="eastAsia" w:ascii="宋体" w:cs="宋体"/>
          <w:sz w:val="21"/>
          <w:szCs w:val="21"/>
          <w:highlight w:val="none"/>
          <w:shd w:val="clear" w:color="auto" w:fill="FFFFFF"/>
        </w:rPr>
        <w:t>时（北京时间）</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rPr>
      </w:pPr>
      <w:r>
        <w:rPr>
          <w:rFonts w:hint="eastAsia" w:ascii="宋体" w:cs="宋体"/>
          <w:sz w:val="21"/>
          <w:szCs w:val="21"/>
          <w:highlight w:val="none"/>
          <w:shd w:val="clear" w:color="auto" w:fill="FFFFFF"/>
        </w:rPr>
        <w:t xml:space="preserve">  开标地点（网址）：</w:t>
      </w:r>
      <w:r>
        <w:rPr>
          <w:rFonts w:hint="eastAsia" w:ascii="宋体" w:cs="宋体"/>
          <w:sz w:val="21"/>
          <w:szCs w:val="21"/>
          <w:highlight w:val="none"/>
        </w:rPr>
        <w:t>金华市双龙南街858号金华财富大厦（金华市行政服务中心新办事大厅4楼开标</w:t>
      </w:r>
      <w:r>
        <w:rPr>
          <w:rFonts w:hint="eastAsia" w:ascii="宋体" w:cs="宋体"/>
          <w:sz w:val="21"/>
          <w:szCs w:val="21"/>
          <w:highlight w:val="none"/>
          <w:lang w:val="en-US" w:eastAsia="zh-CN"/>
        </w:rPr>
        <w:t>3</w:t>
      </w:r>
      <w:r>
        <w:rPr>
          <w:rFonts w:hint="eastAsia" w:ascii="宋体" w:cs="宋体"/>
          <w:sz w:val="21"/>
          <w:szCs w:val="21"/>
          <w:highlight w:val="none"/>
        </w:rPr>
        <w:t>室），本项目</w:t>
      </w:r>
      <w:r>
        <w:rPr>
          <w:rFonts w:hint="eastAsia" w:ascii="宋体" w:cs="宋体"/>
          <w:sz w:val="21"/>
          <w:szCs w:val="21"/>
          <w:highlight w:val="none"/>
          <w:shd w:val="clear" w:color="auto" w:fill="FFFFFF"/>
        </w:rPr>
        <w:t>通过浙江政府采购网政府采</w:t>
      </w:r>
      <w:r>
        <w:rPr>
          <w:rFonts w:hint="eastAsia" w:ascii="宋体" w:cs="宋体"/>
          <w:sz w:val="21"/>
          <w:szCs w:val="21"/>
          <w:highlight w:val="none"/>
        </w:rPr>
        <w:t>购云平台在线开标，</w:t>
      </w:r>
      <w:r>
        <w:rPr>
          <w:rStyle w:val="49"/>
          <w:rFonts w:hint="eastAsia" w:ascii="宋体" w:hAnsi="宋体" w:cs="宋体"/>
          <w:b w:val="0"/>
          <w:sz w:val="21"/>
          <w:szCs w:val="21"/>
          <w:highlight w:val="none"/>
        </w:rPr>
        <w:t>投标人无须到开标现场，但须准时在线参加，</w:t>
      </w:r>
      <w:r>
        <w:rPr>
          <w:rStyle w:val="49"/>
          <w:rFonts w:hint="eastAsia" w:ascii="宋体" w:hAnsi="宋体" w:cs="宋体"/>
          <w:b w:val="0"/>
          <w:bCs w:val="0"/>
          <w:sz w:val="21"/>
          <w:szCs w:val="21"/>
          <w:highlight w:val="none"/>
        </w:rPr>
        <w:t>直至评审结束。</w:t>
      </w:r>
      <w:r>
        <w:rPr>
          <w:rFonts w:hint="eastAsia" w:ascii="宋体" w:cs="宋体"/>
          <w:sz w:val="21"/>
          <w:szCs w:val="21"/>
          <w:highlight w:val="none"/>
        </w:rPr>
        <w:t>开标截止时间后30分钟以内投标人登录“政采云”平台，用“项目采购-开标评标”功能进行解密投标文件。若投标人在规定时间内投标文件无法解密或解密失败（含未提交），则投标无效。</w:t>
      </w:r>
    </w:p>
    <w:p>
      <w:pPr>
        <w:pStyle w:val="43"/>
        <w:numPr>
          <w:ilvl w:val="0"/>
          <w:numId w:val="2"/>
        </w:numPr>
        <w:adjustRightInd w:val="0"/>
        <w:snapToGrid w:val="0"/>
        <w:spacing w:before="0" w:beforeAutospacing="0" w:after="0" w:afterAutospacing="0" w:line="500" w:lineRule="exact"/>
        <w:ind w:firstLine="422" w:firstLineChars="200"/>
        <w:rPr>
          <w:rStyle w:val="49"/>
          <w:rFonts w:ascii="宋体" w:hAnsi="宋体" w:cs="宋体"/>
          <w:sz w:val="21"/>
          <w:szCs w:val="21"/>
          <w:highlight w:val="none"/>
          <w:shd w:val="clear" w:color="auto" w:fill="FFFFFF"/>
        </w:rPr>
      </w:pPr>
      <w:bookmarkStart w:id="31" w:name="_Toc28359007"/>
      <w:bookmarkStart w:id="32" w:name="_Toc28359084"/>
      <w:bookmarkStart w:id="33" w:name="_Toc35393625"/>
      <w:bookmarkStart w:id="34" w:name="_Toc35393794"/>
      <w:r>
        <w:rPr>
          <w:rStyle w:val="49"/>
          <w:rFonts w:hint="eastAsia" w:ascii="宋体" w:hAnsi="宋体" w:cs="宋体"/>
          <w:sz w:val="21"/>
          <w:szCs w:val="21"/>
          <w:highlight w:val="none"/>
          <w:shd w:val="clear" w:color="auto" w:fill="FFFFFF"/>
        </w:rPr>
        <w:t>公告期限</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自本公告发布之日起5个工作日。</w:t>
      </w:r>
    </w:p>
    <w:p>
      <w:pPr>
        <w:tabs>
          <w:tab w:val="left" w:pos="1260"/>
        </w:tabs>
        <w:autoSpaceDE/>
        <w:autoSpaceDN/>
        <w:snapToGrid w:val="0"/>
        <w:spacing w:line="500" w:lineRule="exact"/>
        <w:ind w:firstLine="422" w:firstLineChars="200"/>
        <w:rPr>
          <w:rFonts w:hAnsi="宋体" w:cs="宋体"/>
          <w:highlight w:val="none"/>
        </w:rPr>
      </w:pPr>
      <w:r>
        <w:rPr>
          <w:rFonts w:hint="eastAsia" w:hAnsi="宋体" w:cs="宋体"/>
          <w:b/>
          <w:sz w:val="21"/>
          <w:szCs w:val="21"/>
          <w:highlight w:val="none"/>
        </w:rPr>
        <w:t>六、公告地址：</w:t>
      </w:r>
      <w:r>
        <w:rPr>
          <w:rFonts w:hint="eastAsia" w:hAnsi="宋体" w:cs="宋体"/>
          <w:sz w:val="21"/>
          <w:szCs w:val="21"/>
          <w:highlight w:val="none"/>
        </w:rPr>
        <w:t>浙江政府采购网(http://zfcg.czt.zj.gov.cn/)。</w:t>
      </w:r>
    </w:p>
    <w:bookmarkEnd w:id="8"/>
    <w:bookmarkEnd w:id="9"/>
    <w:bookmarkEnd w:id="10"/>
    <w:bookmarkEnd w:id="11"/>
    <w:bookmarkEnd w:id="23"/>
    <w:bookmarkEnd w:id="24"/>
    <w:bookmarkEnd w:id="25"/>
    <w:bookmarkEnd w:id="26"/>
    <w:bookmarkEnd w:id="31"/>
    <w:bookmarkEnd w:id="32"/>
    <w:bookmarkEnd w:id="33"/>
    <w:bookmarkEnd w:id="34"/>
    <w:p>
      <w:pPr>
        <w:tabs>
          <w:tab w:val="left" w:pos="1260"/>
        </w:tabs>
        <w:autoSpaceDE/>
        <w:autoSpaceDN/>
        <w:snapToGrid w:val="0"/>
        <w:spacing w:line="500" w:lineRule="exact"/>
        <w:ind w:firstLine="422" w:firstLineChars="200"/>
        <w:rPr>
          <w:rFonts w:hAnsi="宋体" w:cs="宋体"/>
          <w:sz w:val="21"/>
          <w:szCs w:val="21"/>
          <w:highlight w:val="none"/>
        </w:rPr>
      </w:pPr>
      <w:r>
        <w:rPr>
          <w:rFonts w:hint="eastAsia" w:hAnsi="宋体" w:cs="宋体"/>
          <w:b/>
          <w:sz w:val="21"/>
          <w:szCs w:val="21"/>
          <w:highlight w:val="none"/>
        </w:rPr>
        <w:t>七、其他补充事宜</w:t>
      </w:r>
    </w:p>
    <w:p>
      <w:pPr>
        <w:tabs>
          <w:tab w:val="left" w:pos="1260"/>
        </w:tabs>
        <w:adjustRightInd/>
        <w:spacing w:line="500" w:lineRule="exact"/>
        <w:ind w:firstLine="420" w:firstLineChars="200"/>
        <w:rPr>
          <w:rFonts w:hAnsi="宋体" w:cs="宋体"/>
          <w:bCs/>
          <w:color w:val="000000"/>
          <w:sz w:val="21"/>
          <w:szCs w:val="21"/>
          <w:highlight w:val="none"/>
        </w:rPr>
      </w:pPr>
      <w:r>
        <w:rPr>
          <w:rFonts w:hint="eastAsia" w:hAnsi="宋体" w:cs="宋体"/>
          <w:bCs/>
          <w:color w:val="000000"/>
          <w:sz w:val="21"/>
          <w:szCs w:val="21"/>
          <w:highlight w:val="none"/>
        </w:rPr>
        <w:t>1.《浙江省财政厅关于进一步发挥政府采购政策功能全力推动经济稳进提质的通知》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 助力扎实稳住经济的通知》（浙财采监〔2022〕8号）已分别于2022年1月29日、2022年2月1日和2022年7月1日开始实施，此前有关规定与上述文件内容不一致的，按上述文件要求执行。</w:t>
      </w:r>
    </w:p>
    <w:p>
      <w:pPr>
        <w:widowControl/>
        <w:tabs>
          <w:tab w:val="left" w:pos="1260"/>
        </w:tabs>
        <w:autoSpaceDE/>
        <w:autoSpaceDN/>
        <w:adjustRightInd/>
        <w:snapToGrid w:val="0"/>
        <w:spacing w:line="460" w:lineRule="exact"/>
        <w:ind w:firstLine="420" w:firstLineChars="200"/>
        <w:rPr>
          <w:rFonts w:hAnsi="宋体" w:cs="宋体"/>
          <w:color w:val="000000"/>
          <w:sz w:val="21"/>
          <w:szCs w:val="21"/>
          <w:highlight w:val="none"/>
        </w:rPr>
      </w:pPr>
      <w:r>
        <w:rPr>
          <w:rFonts w:hint="eastAsia" w:hAnsi="宋体" w:cs="宋体"/>
          <w:color w:val="000000"/>
          <w:sz w:val="21"/>
          <w:szCs w:val="21"/>
          <w:highlight w:val="none"/>
        </w:rPr>
        <w:t xml:space="preserve">本项目未预留份额专门面向中小企业采购。采购单位、采购代理机构结合本项目实际，将对符合规定的小微企业报价给予20%的扣除，用扣除后的价格参加评审。 </w:t>
      </w:r>
    </w:p>
    <w:p>
      <w:pPr>
        <w:tabs>
          <w:tab w:val="left" w:pos="1260"/>
        </w:tabs>
        <w:autoSpaceDE/>
        <w:autoSpaceDN/>
        <w:adjustRightInd/>
        <w:spacing w:line="500" w:lineRule="exact"/>
        <w:ind w:firstLine="420" w:firstLineChars="200"/>
        <w:rPr>
          <w:rFonts w:hAnsi="宋体" w:cs="宋体"/>
          <w:bCs/>
          <w:sz w:val="21"/>
          <w:szCs w:val="21"/>
          <w:highlight w:val="none"/>
        </w:rPr>
      </w:pPr>
      <w:r>
        <w:rPr>
          <w:rFonts w:hint="eastAsia" w:hAnsi="宋体" w:cs="宋体"/>
          <w:bCs/>
          <w:sz w:val="21"/>
          <w:szCs w:val="21"/>
          <w:highlight w:val="none"/>
        </w:rPr>
        <w:t>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pPr>
        <w:pStyle w:val="43"/>
        <w:snapToGrid w:val="0"/>
        <w:spacing w:before="0" w:beforeAutospacing="0" w:after="0" w:afterAutospacing="0" w:line="500" w:lineRule="exact"/>
        <w:ind w:firstLine="420" w:firstLineChars="200"/>
        <w:rPr>
          <w:rStyle w:val="49"/>
          <w:rFonts w:ascii="宋体" w:hAnsi="宋体" w:cs="宋体"/>
          <w:b w:val="0"/>
          <w:bCs w:val="0"/>
          <w:sz w:val="21"/>
          <w:szCs w:val="21"/>
          <w:highlight w:val="none"/>
          <w:shd w:val="clear" w:color="auto" w:fill="FFFFFF"/>
        </w:rPr>
      </w:pPr>
      <w:r>
        <w:rPr>
          <w:rFonts w:hint="eastAsia" w:ascii="宋体" w:cs="宋体"/>
          <w:bCs/>
          <w:sz w:val="21"/>
          <w:szCs w:val="21"/>
          <w:highlight w:val="none"/>
        </w:rPr>
        <w:t>3.供应商认为采购文件使自己的权益受到损害的，可以自获取采购文件之日或者采购文件公告期限届满之日（公告期限届满后获取采购文件的，以公告期限届满之日为准）起7个工作日内，对采购文件</w:t>
      </w:r>
      <w:r>
        <w:rPr>
          <w:rFonts w:hint="eastAsia" w:ascii="宋体" w:cs="宋体"/>
          <w:b/>
          <w:sz w:val="21"/>
          <w:szCs w:val="21"/>
          <w:highlight w:val="none"/>
        </w:rPr>
        <w:t>需求</w:t>
      </w:r>
      <w:r>
        <w:rPr>
          <w:rFonts w:hint="eastAsia" w:ascii="宋体" w:cs="宋体"/>
          <w:bCs/>
          <w:sz w:val="21"/>
          <w:szCs w:val="21"/>
          <w:highlight w:val="none"/>
        </w:rPr>
        <w:t>的以书面形式向采购人提出质疑，对</w:t>
      </w:r>
      <w:r>
        <w:rPr>
          <w:rFonts w:hint="eastAsia" w:ascii="宋体" w:cs="宋体"/>
          <w:b/>
          <w:sz w:val="21"/>
          <w:szCs w:val="21"/>
          <w:highlight w:val="none"/>
        </w:rPr>
        <w:t>其他内容</w:t>
      </w:r>
      <w:r>
        <w:rPr>
          <w:rFonts w:hint="eastAsia" w:ascii="宋体" w:cs="宋体"/>
          <w:bCs/>
          <w:sz w:val="21"/>
          <w:szCs w:val="21"/>
          <w:highlight w:val="none"/>
        </w:rPr>
        <w:t>的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供应商应在法定质疑期内一次性提出针对同一采购程序环节的质疑。</w:t>
      </w:r>
    </w:p>
    <w:p>
      <w:pPr>
        <w:tabs>
          <w:tab w:val="left" w:pos="1260"/>
        </w:tabs>
        <w:adjustRightInd/>
        <w:spacing w:line="500" w:lineRule="exact"/>
        <w:ind w:firstLine="420"/>
        <w:jc w:val="both"/>
        <w:rPr>
          <w:rFonts w:hAnsi="宋体" w:cs="宋体"/>
          <w:bCs/>
          <w:sz w:val="21"/>
          <w:szCs w:val="21"/>
          <w:highlight w:val="none"/>
        </w:rPr>
      </w:pPr>
      <w:r>
        <w:rPr>
          <w:rFonts w:hint="eastAsia" w:hAnsi="宋体" w:cs="宋体"/>
          <w:bCs/>
          <w:sz w:val="21"/>
          <w:szCs w:val="21"/>
          <w:highlight w:val="none"/>
        </w:rPr>
        <w:t>4.其他事项：见招标文件。 </w:t>
      </w:r>
    </w:p>
    <w:p>
      <w:pPr>
        <w:tabs>
          <w:tab w:val="left" w:pos="1260"/>
        </w:tabs>
        <w:adjustRightInd/>
        <w:spacing w:line="500" w:lineRule="exact"/>
        <w:ind w:firstLine="420"/>
        <w:jc w:val="both"/>
        <w:rPr>
          <w:rFonts w:hAnsi="宋体" w:cs="宋体"/>
          <w:bCs/>
          <w:sz w:val="21"/>
          <w:szCs w:val="21"/>
          <w:highlight w:val="none"/>
        </w:rPr>
      </w:pPr>
      <w:r>
        <w:rPr>
          <w:rFonts w:hint="eastAsia" w:hAnsi="宋体" w:cs="宋体"/>
          <w:bCs/>
          <w:sz w:val="21"/>
          <w:szCs w:val="21"/>
          <w:highlight w:val="none"/>
        </w:rPr>
        <w:t>5.企业信用融资: 省财政厅、浙江银监局、省金融办制定了《浙江省政府采购支持中小企业信用融资试点办法》浙财采监[2012]13号)，所称的政府采购信用融资，是指银行业金融机构(以下简称银行)以政府采购诚信考核和信用审查为基础，凭借政府采购合同，按优于一般中小企业的贷款利率直接向申请贷款的投标人发放贷款的一种融资方式。投标人可登录浙江政府采购网(https://zfcg. czt.zj. gov.cn/)的中小企业信用融资栏目了解相关信息。供应商可以通过浙江政府采购网(https://zfcg. czt.zj. gov.cn/)首页的“政采云金融服务”模块进入申请，还可以通过政府采购云平台(https://www.zcygov.cn/)首页的“金融服务”模块进入申请。</w:t>
      </w:r>
    </w:p>
    <w:p>
      <w:pPr>
        <w:widowControl/>
        <w:tabs>
          <w:tab w:val="left" w:pos="1260"/>
        </w:tabs>
        <w:autoSpaceDE/>
        <w:autoSpaceDN/>
        <w:adjustRightInd/>
        <w:spacing w:line="500" w:lineRule="exact"/>
        <w:ind w:firstLine="420"/>
        <w:jc w:val="both"/>
        <w:rPr>
          <w:rFonts w:hAnsi="宋体" w:cs="宋体"/>
          <w:bCs/>
          <w:sz w:val="21"/>
          <w:szCs w:val="21"/>
          <w:highlight w:val="none"/>
        </w:rPr>
      </w:pPr>
      <w:r>
        <w:rPr>
          <w:rFonts w:hint="eastAsia" w:hAnsi="宋体" w:cs="宋体"/>
          <w:bCs/>
          <w:sz w:val="21"/>
          <w:szCs w:val="21"/>
          <w:highlight w:val="none"/>
        </w:rPr>
        <w:t>6.根据《浙江省财政厅关于进一步加大政府采购支持中小企业力度 助力扎实稳住经济的通知》（浙财采监〔2022〕8号）简化对政府采购供应商资格条件的形式审查，供应商书面承诺符合参与政府采购活动资格条件的，不需要再提供财务状况报告、依法缴纳税收和社会保障资金记录、无重大违法记录等证明材料。</w:t>
      </w:r>
    </w:p>
    <w:p>
      <w:pPr>
        <w:widowControl/>
        <w:tabs>
          <w:tab w:val="left" w:pos="1260"/>
        </w:tabs>
        <w:autoSpaceDE/>
        <w:autoSpaceDN/>
        <w:adjustRightInd/>
        <w:spacing w:line="500" w:lineRule="exact"/>
        <w:ind w:firstLine="420"/>
        <w:jc w:val="both"/>
        <w:rPr>
          <w:rFonts w:hAnsi="宋体" w:cs="宋体"/>
          <w:b/>
          <w:sz w:val="21"/>
          <w:szCs w:val="21"/>
          <w:highlight w:val="none"/>
        </w:rPr>
      </w:pPr>
      <w:r>
        <w:rPr>
          <w:rFonts w:hint="eastAsia" w:hAnsi="宋体" w:cs="宋体"/>
          <w:b/>
          <w:sz w:val="21"/>
          <w:szCs w:val="21"/>
          <w:highlight w:val="none"/>
        </w:rPr>
        <w:t>政府采购金融服务提示：</w:t>
      </w:r>
    </w:p>
    <w:p>
      <w:pPr>
        <w:spacing w:line="540" w:lineRule="exact"/>
        <w:ind w:firstLine="420" w:firstLineChars="200"/>
        <w:rPr>
          <w:rFonts w:hAnsi="宋体" w:cs="宋体"/>
          <w:sz w:val="21"/>
          <w:szCs w:val="21"/>
          <w:highlight w:val="none"/>
        </w:rPr>
      </w:pPr>
      <w:r>
        <w:rPr>
          <w:rFonts w:hint="eastAsia" w:hAnsi="宋体" w:cs="宋体"/>
          <w:sz w:val="21"/>
          <w:szCs w:val="21"/>
          <w:highlight w:val="none"/>
        </w:rPr>
        <w:t>为扩大政府采购金融服务面，除政采云网上金融服务合作银行外，金华市范围增加线下合作银行两家，具体信息如下：</w:t>
      </w:r>
    </w:p>
    <w:p>
      <w:pPr>
        <w:spacing w:line="540" w:lineRule="exact"/>
        <w:ind w:firstLine="420" w:firstLineChars="200"/>
        <w:rPr>
          <w:rFonts w:hAnsi="宋体" w:cs="宋体"/>
          <w:color w:val="000000"/>
          <w:sz w:val="21"/>
          <w:szCs w:val="21"/>
          <w:highlight w:val="none"/>
        </w:rPr>
      </w:pPr>
      <w:r>
        <w:rPr>
          <w:rFonts w:hint="eastAsia" w:hAnsi="宋体" w:cs="宋体"/>
          <w:color w:val="000000"/>
          <w:sz w:val="21"/>
          <w:szCs w:val="21"/>
          <w:highlight w:val="none"/>
        </w:rPr>
        <w:t>金华银行文创支行    联系人：  姜峰       联系电话：13905792828      0579-82479020</w:t>
      </w:r>
    </w:p>
    <w:p>
      <w:pPr>
        <w:spacing w:line="540" w:lineRule="exact"/>
        <w:ind w:firstLine="420" w:firstLineChars="200"/>
        <w:rPr>
          <w:rFonts w:hAnsi="宋体" w:cs="宋体"/>
          <w:sz w:val="21"/>
          <w:szCs w:val="21"/>
          <w:highlight w:val="none"/>
        </w:rPr>
      </w:pPr>
      <w:r>
        <w:rPr>
          <w:rFonts w:hint="eastAsia" w:hAnsi="宋体" w:cs="宋体"/>
          <w:sz w:val="21"/>
          <w:szCs w:val="21"/>
          <w:highlight w:val="none"/>
        </w:rPr>
        <w:t>浙商银行金华分行    联系人：  朱晨祥     联系电话： 15857978811     0579-82999581</w:t>
      </w:r>
    </w:p>
    <w:p>
      <w:pPr>
        <w:pStyle w:val="43"/>
        <w:adjustRightInd w:val="0"/>
        <w:snapToGrid w:val="0"/>
        <w:spacing w:before="0" w:beforeAutospacing="0" w:after="0" w:afterAutospacing="0" w:line="500" w:lineRule="exact"/>
        <w:ind w:firstLine="422" w:firstLineChars="200"/>
        <w:rPr>
          <w:rFonts w:ascii="宋体" w:cs="宋体"/>
          <w:sz w:val="21"/>
          <w:szCs w:val="21"/>
          <w:highlight w:val="none"/>
        </w:rPr>
      </w:pPr>
      <w:r>
        <w:rPr>
          <w:rStyle w:val="49"/>
          <w:rFonts w:hint="eastAsia" w:ascii="宋体" w:hAnsi="宋体" w:cs="宋体"/>
          <w:sz w:val="21"/>
          <w:szCs w:val="21"/>
          <w:highlight w:val="none"/>
          <w:shd w:val="clear" w:color="auto" w:fill="FFFFFF"/>
        </w:rPr>
        <w:t>八、电子投标事项特别说明</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1.本项目实行电子投标，投标人应按照本项目采购文件和政采云平台的要求编制、加密并递交响应文件。投标人在使用系统进行投标的过程中遇到涉及平台使用的任何问题，可致电政采云平台技术支持热线咨询，联系方式：400-881-7190。</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2.投标人应在开标前完成 CA 数字证书办理。完成 CA 数字证书办理预计一周左右，建议各投标人抓紧时间办理。</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3.投标人通过政采云平台“电子交易客户端”制作响应文件，电子投标工具请投标人自行前往浙江省政府采购网下载并安装。</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4.投标人将加密的电子版响应文件于投标截止时间前上传到政采云系统中。</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5.具体的响应文件加密上传等操作详见政采云平台操作指南。https://edu.zcygov.cn/luban/e-biding?utm=a0004.2ef5001f.0001.0109.da8b35e0da8611e98d8937b7ef8a3544 。</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shd w:val="clear" w:color="auto" w:fill="FFFFFF"/>
        </w:rPr>
      </w:pPr>
      <w:r>
        <w:rPr>
          <w:rFonts w:hint="eastAsia" w:ascii="宋体" w:cs="宋体"/>
          <w:sz w:val="21"/>
          <w:szCs w:val="21"/>
          <w:highlight w:val="none"/>
          <w:shd w:val="clear" w:color="auto" w:fill="FFFFFF"/>
        </w:rPr>
        <w:t>注：建议使用谷歌浏览器，使用其他浏览器可能发生无法解密等未知情况。</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rPr>
      </w:pPr>
      <w:r>
        <w:rPr>
          <w:rFonts w:hint="eastAsia" w:ascii="宋体" w:cs="宋体"/>
          <w:sz w:val="21"/>
          <w:szCs w:val="21"/>
          <w:highlight w:val="none"/>
          <w:shd w:val="clear" w:color="auto" w:fill="FFFFFF"/>
        </w:rPr>
        <w:t>6.投标人应当在投标截止时间前完成电子响应文件的传输递交，并可以补充、修改或者撤回电子响应文件。补充或者修改电子响应文件的，应当先行撤回原文件，补充、修改后重新传输递交。投标截止时间前未完成传输的，视为撤回响应文件。投标、响应截止时间后送达的投标、响应文件，将被政采云平台拒收。</w:t>
      </w:r>
    </w:p>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九、对本次招标提出询问，请按以下方式联系。</w:t>
      </w:r>
    </w:p>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1.采购人信息</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名 称：金华市固体废物管理中心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地址：</w:t>
      </w:r>
      <w:r>
        <w:rPr>
          <w:rFonts w:hint="eastAsia" w:hAnsi="宋体" w:cs="宋体"/>
          <w:sz w:val="21"/>
          <w:szCs w:val="21"/>
          <w:highlight w:val="none"/>
          <w:lang w:eastAsia="zh-CN"/>
        </w:rPr>
        <w:t>金华市金东区东宁路223号</w:t>
      </w:r>
      <w:r>
        <w:rPr>
          <w:rFonts w:hint="eastAsia" w:hAnsi="宋体" w:cs="宋体"/>
          <w:sz w:val="21"/>
          <w:szCs w:val="21"/>
          <w:highlight w:val="none"/>
        </w:rPr>
        <w:t>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项目联系人（询问）：</w:t>
      </w:r>
      <w:r>
        <w:rPr>
          <w:rFonts w:hint="eastAsia" w:hAnsi="宋体" w:cs="宋体"/>
          <w:sz w:val="21"/>
          <w:szCs w:val="21"/>
          <w:highlight w:val="none"/>
          <w:lang w:eastAsia="zh-CN"/>
        </w:rPr>
        <w:t>王先生</w:t>
      </w:r>
      <w:r>
        <w:rPr>
          <w:rFonts w:hint="eastAsia" w:hAnsi="宋体" w:cs="宋体"/>
          <w:sz w:val="21"/>
          <w:szCs w:val="21"/>
          <w:highlight w:val="none"/>
        </w:rPr>
        <w:t xml:space="preserve">  　　　　　　　　　　</w:t>
      </w:r>
    </w:p>
    <w:p>
      <w:pPr>
        <w:tabs>
          <w:tab w:val="left" w:pos="1260"/>
        </w:tabs>
        <w:autoSpaceDE/>
        <w:autoSpaceDN/>
        <w:snapToGrid w:val="0"/>
        <w:spacing w:line="500" w:lineRule="exact"/>
        <w:ind w:firstLine="420" w:firstLineChars="200"/>
        <w:rPr>
          <w:rFonts w:hint="default" w:hAnsi="宋体" w:eastAsia="宋体" w:cs="宋体"/>
          <w:bCs/>
          <w:kern w:val="2"/>
          <w:sz w:val="21"/>
          <w:szCs w:val="21"/>
          <w:highlight w:val="none"/>
          <w:lang w:val="en-US" w:eastAsia="zh-CN"/>
        </w:rPr>
      </w:pPr>
      <w:r>
        <w:rPr>
          <w:rFonts w:hint="eastAsia" w:hAnsi="宋体" w:cs="宋体"/>
          <w:sz w:val="21"/>
          <w:szCs w:val="21"/>
          <w:highlight w:val="none"/>
        </w:rPr>
        <w:t>项目联系方式（询问）：0579-</w:t>
      </w:r>
      <w:r>
        <w:rPr>
          <w:rFonts w:hint="eastAsia" w:hAnsi="宋体" w:cs="宋体"/>
          <w:sz w:val="21"/>
          <w:szCs w:val="21"/>
          <w:highlight w:val="none"/>
          <w:lang w:val="en-US" w:eastAsia="zh-CN"/>
        </w:rPr>
        <w:t>82181572</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质疑联系人（询问）：</w:t>
      </w:r>
      <w:r>
        <w:rPr>
          <w:rFonts w:hint="eastAsia" w:hAnsi="宋体" w:cs="宋体"/>
          <w:sz w:val="21"/>
          <w:szCs w:val="21"/>
          <w:highlight w:val="none"/>
          <w:lang w:eastAsia="zh-CN"/>
        </w:rPr>
        <w:t>汤先生</w:t>
      </w:r>
      <w:r>
        <w:rPr>
          <w:rFonts w:hint="eastAsia" w:hAnsi="宋体" w:cs="宋体"/>
          <w:sz w:val="21"/>
          <w:szCs w:val="21"/>
          <w:highlight w:val="none"/>
        </w:rPr>
        <w:t>  　　</w:t>
      </w:r>
    </w:p>
    <w:p>
      <w:pPr>
        <w:tabs>
          <w:tab w:val="left" w:pos="1260"/>
        </w:tabs>
        <w:autoSpaceDE/>
        <w:autoSpaceDN/>
        <w:snapToGrid w:val="0"/>
        <w:spacing w:line="500" w:lineRule="exact"/>
        <w:ind w:firstLine="420" w:firstLineChars="200"/>
        <w:rPr>
          <w:rFonts w:hint="default" w:hAnsi="宋体" w:eastAsia="宋体" w:cs="宋体"/>
          <w:b/>
          <w:sz w:val="21"/>
          <w:szCs w:val="21"/>
          <w:highlight w:val="none"/>
          <w:lang w:val="en-US" w:eastAsia="zh-CN"/>
        </w:rPr>
      </w:pPr>
      <w:r>
        <w:rPr>
          <w:rFonts w:hint="eastAsia" w:hAnsi="宋体" w:cs="宋体"/>
          <w:sz w:val="21"/>
          <w:szCs w:val="21"/>
          <w:highlight w:val="none"/>
        </w:rPr>
        <w:t>质疑联系方式（询问）：0579-</w:t>
      </w:r>
      <w:r>
        <w:rPr>
          <w:rFonts w:hint="eastAsia" w:hAnsi="宋体" w:cs="宋体"/>
          <w:sz w:val="21"/>
          <w:szCs w:val="21"/>
          <w:highlight w:val="none"/>
          <w:lang w:val="en-US" w:eastAsia="zh-CN"/>
        </w:rPr>
        <w:t>82181572</w:t>
      </w:r>
    </w:p>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2.采购代理机构信息</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名称：金华市天盈财务咨询有限公司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地址：金华市创新街18号南楼四楼，农科教大楼西侧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传真：0579-82460882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项目联系人（询问）：卢丽云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项目联系方式（询问）：0579-81338925、82162067</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质疑联系人（询问）：夏翰宇   　　</w:t>
      </w:r>
    </w:p>
    <w:p>
      <w:pPr>
        <w:tabs>
          <w:tab w:val="left" w:pos="126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质疑联系方式（询问）：0579-82474058 </w:t>
      </w:r>
    </w:p>
    <w:p>
      <w:pPr>
        <w:tabs>
          <w:tab w:val="left" w:pos="1260"/>
        </w:tabs>
        <w:autoSpaceDE/>
        <w:autoSpaceDN/>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3.同级政府采购监督管理部门</w:t>
      </w:r>
    </w:p>
    <w:p>
      <w:pPr>
        <w:tabs>
          <w:tab w:val="left" w:pos="1260"/>
        </w:tabs>
        <w:autoSpaceDE/>
        <w:autoSpaceDN/>
        <w:adjustRightInd/>
        <w:snapToGrid w:val="0"/>
        <w:spacing w:line="460" w:lineRule="exact"/>
        <w:ind w:firstLine="420" w:firstLineChars="200"/>
        <w:jc w:val="both"/>
        <w:rPr>
          <w:rFonts w:hAnsi="宋体" w:cs="宋体"/>
          <w:sz w:val="21"/>
          <w:szCs w:val="21"/>
          <w:highlight w:val="none"/>
        </w:rPr>
      </w:pPr>
      <w:r>
        <w:rPr>
          <w:rFonts w:hint="eastAsia" w:hAnsi="宋体" w:cs="宋体"/>
          <w:sz w:val="21"/>
          <w:szCs w:val="21"/>
          <w:highlight w:val="none"/>
        </w:rPr>
        <w:t>名称：金华市财政局政府采购监管处　　　　　　　　　　　</w:t>
      </w:r>
    </w:p>
    <w:p>
      <w:pPr>
        <w:tabs>
          <w:tab w:val="left" w:pos="1260"/>
        </w:tabs>
        <w:autoSpaceDE/>
        <w:autoSpaceDN/>
        <w:adjustRightInd/>
        <w:snapToGrid w:val="0"/>
        <w:spacing w:line="460" w:lineRule="exact"/>
        <w:ind w:firstLine="420" w:firstLineChars="200"/>
        <w:jc w:val="both"/>
        <w:rPr>
          <w:rFonts w:hAnsi="宋体" w:cs="宋体"/>
          <w:sz w:val="21"/>
          <w:szCs w:val="21"/>
          <w:highlight w:val="none"/>
        </w:rPr>
      </w:pPr>
      <w:r>
        <w:rPr>
          <w:rFonts w:hint="eastAsia" w:hAnsi="宋体" w:cs="宋体"/>
          <w:sz w:val="21"/>
          <w:szCs w:val="21"/>
          <w:highlight w:val="none"/>
        </w:rPr>
        <w:t>地址：金华市双龙南街801号 　　　　　　　　　　　 　   </w:t>
      </w:r>
    </w:p>
    <w:p>
      <w:pPr>
        <w:tabs>
          <w:tab w:val="left" w:pos="1260"/>
        </w:tabs>
        <w:autoSpaceDE/>
        <w:autoSpaceDN/>
        <w:adjustRightInd/>
        <w:snapToGrid w:val="0"/>
        <w:spacing w:line="460" w:lineRule="exact"/>
        <w:ind w:firstLine="420" w:firstLineChars="200"/>
        <w:jc w:val="both"/>
        <w:rPr>
          <w:rFonts w:hAnsi="宋体" w:cs="宋体"/>
          <w:sz w:val="21"/>
          <w:szCs w:val="21"/>
          <w:highlight w:val="none"/>
        </w:rPr>
      </w:pPr>
      <w:r>
        <w:rPr>
          <w:rFonts w:hint="eastAsia" w:hAnsi="宋体" w:cs="宋体"/>
          <w:sz w:val="21"/>
          <w:szCs w:val="21"/>
          <w:highlight w:val="none"/>
        </w:rPr>
        <w:t>联系人 ：徐女士　　　　　　　　　　　</w:t>
      </w:r>
    </w:p>
    <w:p>
      <w:pPr>
        <w:pStyle w:val="43"/>
        <w:adjustRightInd w:val="0"/>
        <w:snapToGrid w:val="0"/>
        <w:spacing w:before="0" w:beforeAutospacing="0" w:after="0" w:afterAutospacing="0" w:line="500" w:lineRule="exact"/>
        <w:ind w:firstLine="420" w:firstLineChars="200"/>
        <w:rPr>
          <w:rStyle w:val="49"/>
          <w:rFonts w:ascii="宋体" w:hAnsi="宋体" w:cs="宋体"/>
          <w:sz w:val="21"/>
          <w:szCs w:val="21"/>
          <w:highlight w:val="none"/>
          <w:shd w:val="clear" w:color="auto" w:fill="FFFFFF"/>
        </w:rPr>
      </w:pPr>
      <w:r>
        <w:rPr>
          <w:rFonts w:hint="eastAsia" w:ascii="宋体" w:cs="宋体"/>
          <w:sz w:val="21"/>
          <w:szCs w:val="21"/>
          <w:highlight w:val="none"/>
        </w:rPr>
        <w:t>监督投诉电话：0579-82468735　　</w:t>
      </w:r>
    </w:p>
    <w:p>
      <w:pPr>
        <w:spacing w:line="360" w:lineRule="auto"/>
        <w:jc w:val="center"/>
        <w:rPr>
          <w:highlight w:val="none"/>
        </w:rPr>
      </w:pPr>
      <w:bookmarkStart w:id="35" w:name="_Toc351559941"/>
    </w:p>
    <w:p>
      <w:pPr>
        <w:rPr>
          <w:rStyle w:val="49"/>
          <w:rFonts w:ascii="宋体" w:hAnsi="宋体" w:cs="宋体"/>
          <w:sz w:val="21"/>
          <w:szCs w:val="21"/>
          <w:highlight w:val="none"/>
          <w:shd w:val="clear" w:color="auto" w:fill="FFFFFF"/>
        </w:rPr>
      </w:pPr>
      <w:r>
        <w:rPr>
          <w:rStyle w:val="49"/>
          <w:rFonts w:hint="eastAsia" w:ascii="宋体" w:hAnsi="宋体" w:cs="宋体"/>
          <w:sz w:val="21"/>
          <w:szCs w:val="21"/>
          <w:highlight w:val="none"/>
          <w:shd w:val="clear" w:color="auto" w:fill="FFFFFF"/>
        </w:rPr>
        <w:br w:type="page"/>
      </w:r>
    </w:p>
    <w:p>
      <w:pPr>
        <w:pStyle w:val="5"/>
        <w:keepNext w:val="0"/>
        <w:spacing w:line="360" w:lineRule="auto"/>
        <w:jc w:val="center"/>
        <w:rPr>
          <w:rFonts w:ascii="宋体" w:hAnsi="宋体" w:cs="宋体"/>
          <w:color w:val="auto"/>
          <w:sz w:val="30"/>
          <w:szCs w:val="30"/>
          <w:highlight w:val="none"/>
        </w:rPr>
      </w:pPr>
      <w:r>
        <w:rPr>
          <w:rFonts w:hint="eastAsia" w:ascii="宋体" w:hAnsi="宋体" w:cs="宋体"/>
          <w:color w:val="auto"/>
          <w:sz w:val="30"/>
          <w:szCs w:val="30"/>
          <w:highlight w:val="none"/>
        </w:rPr>
        <w:t>第二章  招标需求</w:t>
      </w:r>
      <w:bookmarkEnd w:id="35"/>
    </w:p>
    <w:p>
      <w:pPr>
        <w:tabs>
          <w:tab w:val="left" w:pos="1260"/>
        </w:tabs>
        <w:autoSpaceDE/>
        <w:autoSpaceDN/>
        <w:adjustRightInd/>
        <w:snapToGrid w:val="0"/>
        <w:spacing w:line="500" w:lineRule="exact"/>
        <w:ind w:firstLine="316" w:firstLineChars="150"/>
        <w:jc w:val="both"/>
        <w:rPr>
          <w:rFonts w:hAnsi="宋体" w:cs="宋体"/>
          <w:sz w:val="21"/>
          <w:szCs w:val="21"/>
          <w:highlight w:val="none"/>
        </w:rPr>
      </w:pPr>
      <w:bookmarkStart w:id="36" w:name="_Toc351559942"/>
      <w:r>
        <w:rPr>
          <w:rFonts w:hint="eastAsia" w:hAnsi="宋体" w:cs="宋体"/>
          <w:b/>
          <w:sz w:val="21"/>
          <w:szCs w:val="21"/>
          <w:highlight w:val="none"/>
        </w:rPr>
        <w:t>一、采购需求</w:t>
      </w:r>
      <w:r>
        <w:rPr>
          <w:rFonts w:hint="eastAsia" w:hAnsi="宋体" w:cs="宋体"/>
          <w:sz w:val="21"/>
          <w:szCs w:val="21"/>
          <w:highlight w:val="none"/>
        </w:rPr>
        <w:t xml:space="preserve">： </w:t>
      </w:r>
    </w:p>
    <w:tbl>
      <w:tblPr>
        <w:tblStyle w:val="46"/>
        <w:tblW w:w="922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321"/>
        <w:gridCol w:w="4987"/>
        <w:gridCol w:w="810"/>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632"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序号</w:t>
            </w:r>
          </w:p>
        </w:tc>
        <w:tc>
          <w:tcPr>
            <w:tcW w:w="1321"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采购内容</w:t>
            </w:r>
          </w:p>
        </w:tc>
        <w:tc>
          <w:tcPr>
            <w:tcW w:w="4987"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要求</w:t>
            </w:r>
          </w:p>
        </w:tc>
        <w:tc>
          <w:tcPr>
            <w:tcW w:w="810"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数量</w:t>
            </w:r>
          </w:p>
        </w:tc>
        <w:tc>
          <w:tcPr>
            <w:tcW w:w="1477"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预算金额</w:t>
            </w:r>
          </w:p>
          <w:p>
            <w:pPr>
              <w:widowControl/>
              <w:spacing w:line="460" w:lineRule="exact"/>
              <w:jc w:val="center"/>
              <w:rPr>
                <w:rFonts w:hAnsi="宋体" w:cs="宋体"/>
                <w:sz w:val="21"/>
                <w:szCs w:val="21"/>
                <w:highlight w:val="none"/>
              </w:rPr>
            </w:pPr>
            <w:r>
              <w:rPr>
                <w:rFonts w:hint="eastAsia" w:hAnsi="宋体" w:cs="宋体"/>
                <w:sz w:val="21"/>
                <w:szCs w:val="21"/>
                <w:highlight w:val="none"/>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632" w:type="dxa"/>
            <w:vAlign w:val="center"/>
          </w:tcPr>
          <w:p>
            <w:pPr>
              <w:tabs>
                <w:tab w:val="left" w:pos="1260"/>
              </w:tabs>
              <w:autoSpaceDE/>
              <w:autoSpaceDN/>
              <w:adjustRightInd/>
              <w:spacing w:line="460" w:lineRule="exact"/>
              <w:jc w:val="center"/>
              <w:rPr>
                <w:rFonts w:hAnsi="宋体" w:cs="宋体"/>
                <w:sz w:val="21"/>
                <w:szCs w:val="21"/>
                <w:highlight w:val="none"/>
              </w:rPr>
            </w:pPr>
            <w:r>
              <w:rPr>
                <w:rFonts w:hint="eastAsia" w:hAnsi="宋体" w:cs="宋体"/>
                <w:sz w:val="21"/>
                <w:szCs w:val="21"/>
                <w:highlight w:val="none"/>
              </w:rPr>
              <w:t>1</w:t>
            </w:r>
          </w:p>
        </w:tc>
        <w:tc>
          <w:tcPr>
            <w:tcW w:w="1321" w:type="dxa"/>
            <w:vAlign w:val="center"/>
          </w:tcPr>
          <w:p>
            <w:pPr>
              <w:tabs>
                <w:tab w:val="left" w:pos="1260"/>
              </w:tabs>
              <w:autoSpaceDE/>
              <w:autoSpaceDN/>
              <w:adjustRightInd/>
              <w:spacing w:line="460" w:lineRule="exact"/>
              <w:jc w:val="center"/>
              <w:rPr>
                <w:rFonts w:hint="eastAsia" w:hAnsi="宋体" w:eastAsia="宋体" w:cs="宋体"/>
                <w:sz w:val="21"/>
                <w:szCs w:val="21"/>
                <w:highlight w:val="none"/>
                <w:lang w:eastAsia="zh-CN"/>
              </w:rPr>
            </w:pPr>
            <w:r>
              <w:rPr>
                <w:rFonts w:hint="eastAsia" w:hAnsi="宋体" w:cs="宋体"/>
                <w:sz w:val="21"/>
                <w:szCs w:val="21"/>
                <w:highlight w:val="none"/>
              </w:rPr>
              <w:t>金华市固体废物管理中心关于固体废物全过程</w:t>
            </w:r>
            <w:r>
              <w:rPr>
                <w:rFonts w:hint="eastAsia" w:hAnsi="宋体" w:cs="宋体"/>
                <w:sz w:val="21"/>
                <w:szCs w:val="21"/>
                <w:highlight w:val="none"/>
                <w:lang w:eastAsia="zh-CN"/>
              </w:rPr>
              <w:t>管理平台运行及维护项目</w:t>
            </w:r>
          </w:p>
        </w:tc>
        <w:tc>
          <w:tcPr>
            <w:tcW w:w="4987" w:type="dxa"/>
            <w:vAlign w:val="center"/>
          </w:tcPr>
          <w:p>
            <w:pPr>
              <w:widowControl/>
              <w:tabs>
                <w:tab w:val="left" w:pos="1260"/>
              </w:tabs>
              <w:autoSpaceDE/>
              <w:autoSpaceDN/>
              <w:adjustRightInd/>
              <w:spacing w:line="460" w:lineRule="exact"/>
              <w:rPr>
                <w:rFonts w:hAnsi="宋体" w:cs="宋体"/>
                <w:sz w:val="21"/>
                <w:szCs w:val="21"/>
                <w:highlight w:val="none"/>
              </w:rPr>
            </w:pPr>
            <w:r>
              <w:rPr>
                <w:rFonts w:hint="eastAsia" w:hAnsi="宋体" w:cs="宋体"/>
                <w:sz w:val="21"/>
                <w:szCs w:val="21"/>
                <w:highlight w:val="none"/>
              </w:rPr>
              <w:t>根据《浙江省人民政府办公厅关于印发浙江省强化危险废物监管和利用处置能力改革实施方案的通知》、《省生态环境厅省公安厅关于做好工业固体废物精密智控闭环监管数字化改革试点工作的通知》等文件要求，我市需开展危险废物持证经营单位、小微收集点、重点产废企业智能监控措施，建立一个有序的固体废物全过程信息化管理平台，实时有效的监控固体废弃物从产生到处置的整个生命周期，联网企业实现危险废物产生、</w:t>
            </w:r>
            <w:r>
              <w:rPr>
                <w:rFonts w:hint="eastAsia" w:hAnsi="宋体" w:cs="宋体"/>
                <w:sz w:val="21"/>
                <w:szCs w:val="21"/>
                <w:highlight w:val="none"/>
                <w:lang w:bidi="ar"/>
              </w:rPr>
              <w:t>贮存、运输、处置等环节全过程监管。</w:t>
            </w:r>
            <w:r>
              <w:rPr>
                <w:rFonts w:hint="eastAsia" w:hAnsi="宋体" w:cs="宋体"/>
                <w:sz w:val="21"/>
                <w:szCs w:val="21"/>
                <w:highlight w:val="none"/>
              </w:rPr>
              <w:t>具体要求详见下文。</w:t>
            </w:r>
          </w:p>
        </w:tc>
        <w:tc>
          <w:tcPr>
            <w:tcW w:w="810" w:type="dxa"/>
            <w:vAlign w:val="center"/>
          </w:tcPr>
          <w:p>
            <w:pPr>
              <w:widowControl/>
              <w:spacing w:line="460" w:lineRule="exact"/>
              <w:jc w:val="center"/>
              <w:rPr>
                <w:rFonts w:hAnsi="宋体" w:cs="宋体"/>
                <w:sz w:val="21"/>
                <w:szCs w:val="21"/>
                <w:highlight w:val="none"/>
              </w:rPr>
            </w:pPr>
            <w:r>
              <w:rPr>
                <w:rFonts w:hint="eastAsia" w:hAnsi="宋体" w:cs="宋体"/>
                <w:sz w:val="21"/>
                <w:szCs w:val="21"/>
                <w:highlight w:val="none"/>
              </w:rPr>
              <w:t>1项</w:t>
            </w:r>
          </w:p>
        </w:tc>
        <w:tc>
          <w:tcPr>
            <w:tcW w:w="1477" w:type="dxa"/>
            <w:vAlign w:val="center"/>
          </w:tcPr>
          <w:p>
            <w:pPr>
              <w:widowControl/>
              <w:tabs>
                <w:tab w:val="left" w:pos="1260"/>
              </w:tabs>
              <w:autoSpaceDE/>
              <w:autoSpaceDN/>
              <w:adjustRightInd/>
              <w:snapToGrid w:val="0"/>
              <w:spacing w:line="460" w:lineRule="exact"/>
              <w:jc w:val="center"/>
              <w:rPr>
                <w:rFonts w:hint="eastAsia" w:hAnsi="宋体" w:eastAsia="宋体" w:cs="宋体"/>
                <w:bCs/>
                <w:sz w:val="21"/>
                <w:szCs w:val="21"/>
                <w:highlight w:val="none"/>
                <w:lang w:eastAsia="zh-CN"/>
              </w:rPr>
            </w:pPr>
            <w:r>
              <w:rPr>
                <w:rFonts w:hint="eastAsia" w:hAnsi="宋体" w:cs="宋体"/>
                <w:bCs/>
                <w:sz w:val="21"/>
                <w:szCs w:val="21"/>
                <w:highlight w:val="none"/>
                <w:lang w:eastAsia="zh-CN"/>
              </w:rPr>
              <w:t>220万元</w:t>
            </w:r>
          </w:p>
        </w:tc>
      </w:tr>
    </w:tbl>
    <w:p>
      <w:pPr>
        <w:numPr>
          <w:ilvl w:val="1"/>
          <w:numId w:val="0"/>
        </w:numPr>
        <w:tabs>
          <w:tab w:val="left" w:pos="1134"/>
          <w:tab w:val="left" w:pos="1670"/>
        </w:tabs>
        <w:snapToGrid w:val="0"/>
        <w:spacing w:line="500" w:lineRule="exact"/>
        <w:ind w:firstLine="422" w:firstLineChars="200"/>
        <w:rPr>
          <w:rFonts w:ascii="Trebuchet MS" w:hAnsi="Trebuchet MS"/>
          <w:b/>
          <w:bCs/>
          <w:sz w:val="21"/>
          <w:szCs w:val="21"/>
          <w:highlight w:val="none"/>
        </w:rPr>
      </w:pPr>
      <w:r>
        <w:rPr>
          <w:rFonts w:hint="eastAsia" w:ascii="Trebuchet MS" w:hAnsi="Trebuchet MS"/>
          <w:b/>
          <w:bCs/>
          <w:sz w:val="21"/>
          <w:szCs w:val="21"/>
          <w:highlight w:val="none"/>
        </w:rPr>
        <w:t>二、</w:t>
      </w:r>
      <w:r>
        <w:rPr>
          <w:rFonts w:ascii="Trebuchet MS" w:hAnsi="Trebuchet MS"/>
          <w:b/>
          <w:bCs/>
          <w:sz w:val="21"/>
          <w:szCs w:val="21"/>
          <w:highlight w:val="none"/>
        </w:rPr>
        <w:t>项目概况</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通过建立一个有序的固废和危险废物管理信息系统，实现实时有效的监控目标企业固体废弃物、危险废物从产生到处置的整个生命周期，根本上杜绝固废及危险废物产生企业日常生产中普遍存在的少报漏报，以及偷倒、乱倒等现象，同时解决危险废物、固废处置单位在处置过程中存在的危险废物、固废处置种类数量不清和应收费用数据不准确等问题。</w:t>
      </w:r>
    </w:p>
    <w:p>
      <w:pPr>
        <w:numPr>
          <w:ilvl w:val="1"/>
          <w:numId w:val="0"/>
        </w:numPr>
        <w:tabs>
          <w:tab w:val="left" w:pos="1134"/>
          <w:tab w:val="left" w:pos="1670"/>
        </w:tabs>
        <w:snapToGrid w:val="0"/>
        <w:spacing w:line="500" w:lineRule="exact"/>
        <w:ind w:firstLine="422" w:firstLineChars="200"/>
        <w:rPr>
          <w:rFonts w:ascii="Trebuchet MS" w:hAnsi="Trebuchet MS"/>
          <w:b/>
          <w:bCs/>
          <w:sz w:val="21"/>
          <w:szCs w:val="21"/>
          <w:highlight w:val="none"/>
        </w:rPr>
      </w:pPr>
      <w:r>
        <w:rPr>
          <w:rFonts w:hint="eastAsia" w:ascii="Trebuchet MS" w:hAnsi="Trebuchet MS"/>
          <w:b/>
          <w:bCs/>
          <w:sz w:val="21"/>
          <w:szCs w:val="21"/>
          <w:highlight w:val="none"/>
        </w:rPr>
        <w:t>三、服务内容</w:t>
      </w:r>
    </w:p>
    <w:p>
      <w:pPr>
        <w:snapToGrid w:val="0"/>
        <w:spacing w:line="500" w:lineRule="exact"/>
        <w:ind w:firstLine="420" w:firstLineChars="200"/>
        <w:rPr>
          <w:rFonts w:hAnsi="宋体" w:cs="宋体"/>
          <w:sz w:val="21"/>
          <w:szCs w:val="21"/>
          <w:highlight w:val="none"/>
        </w:rPr>
      </w:pPr>
      <w:r>
        <w:rPr>
          <w:rFonts w:hAnsi="宋体" w:cs="宋体"/>
          <w:sz w:val="21"/>
          <w:szCs w:val="21"/>
          <w:highlight w:val="none"/>
        </w:rPr>
        <w:t>提供182家企业</w:t>
      </w:r>
      <w:r>
        <w:rPr>
          <w:rFonts w:hint="eastAsia" w:hAnsi="宋体" w:cs="宋体"/>
          <w:sz w:val="21"/>
          <w:szCs w:val="21"/>
          <w:highlight w:val="none"/>
        </w:rPr>
        <w:t>已建点位维保，提供1</w:t>
      </w:r>
      <w:r>
        <w:rPr>
          <w:rFonts w:hAnsi="宋体" w:cs="宋体"/>
          <w:sz w:val="21"/>
          <w:szCs w:val="21"/>
          <w:highlight w:val="none"/>
        </w:rPr>
        <w:t>73家企业</w:t>
      </w:r>
      <w:r>
        <w:rPr>
          <w:rFonts w:hint="eastAsia" w:hAnsi="宋体" w:cs="宋体"/>
          <w:sz w:val="21"/>
          <w:szCs w:val="21"/>
          <w:highlight w:val="none"/>
        </w:rPr>
        <w:t>新建点位接入及维保并提供3</w:t>
      </w:r>
      <w:r>
        <w:rPr>
          <w:rFonts w:hAnsi="宋体" w:cs="宋体"/>
          <w:sz w:val="21"/>
          <w:szCs w:val="21"/>
          <w:highlight w:val="none"/>
        </w:rPr>
        <w:t>0天存储</w:t>
      </w:r>
      <w:r>
        <w:rPr>
          <w:rFonts w:hint="eastAsia" w:hAnsi="宋体" w:cs="宋体"/>
          <w:sz w:val="21"/>
          <w:szCs w:val="21"/>
          <w:highlight w:val="none"/>
        </w:rPr>
        <w:t>，提供</w:t>
      </w:r>
      <w:r>
        <w:rPr>
          <w:rFonts w:hAnsi="宋体" w:cs="宋体"/>
          <w:sz w:val="21"/>
          <w:szCs w:val="21"/>
          <w:highlight w:val="none"/>
        </w:rPr>
        <w:t>355</w:t>
      </w:r>
      <w:r>
        <w:rPr>
          <w:rFonts w:hint="eastAsia" w:hAnsi="宋体" w:cs="宋体"/>
          <w:sz w:val="21"/>
          <w:szCs w:val="21"/>
          <w:highlight w:val="none"/>
        </w:rPr>
        <w:t>家企业的光纤电路，速率达到20M/条；为原有视频平台的视频维护保障；提供</w:t>
      </w:r>
      <w:r>
        <w:rPr>
          <w:rFonts w:hint="eastAsia" w:hAnsi="宋体" w:cs="宋体"/>
          <w:color w:val="0000FF"/>
          <w:sz w:val="21"/>
          <w:szCs w:val="21"/>
          <w:highlight w:val="none"/>
        </w:rPr>
        <w:t>金华市固体废物管理中心</w:t>
      </w:r>
      <w:r>
        <w:rPr>
          <w:rFonts w:hint="eastAsia" w:hAnsi="宋体" w:cs="宋体"/>
          <w:sz w:val="21"/>
          <w:szCs w:val="21"/>
          <w:highlight w:val="none"/>
        </w:rPr>
        <w:t>100M光纤电路的维护；出入口点位抓拍推送至公安雪亮平台。方便产废单位、经营单位及时了解有关固废、危险废物情况，提高管理效率，防止非法倾倒，加强环境监督管理，保障群众环境权益。</w:t>
      </w:r>
    </w:p>
    <w:p>
      <w:pPr>
        <w:snapToGrid w:val="0"/>
        <w:spacing w:line="500" w:lineRule="exact"/>
        <w:ind w:firstLine="420" w:firstLineChars="200"/>
        <w:rPr>
          <w:rFonts w:ascii="Times New Roman"/>
          <w:sz w:val="21"/>
          <w:szCs w:val="21"/>
          <w:highlight w:val="none"/>
        </w:rPr>
      </w:pPr>
      <w:r>
        <w:rPr>
          <w:rFonts w:hint="eastAsia" w:hAnsi="宋体" w:cs="宋体"/>
          <w:sz w:val="21"/>
          <w:szCs w:val="21"/>
          <w:highlight w:val="none"/>
        </w:rPr>
        <w:t>服务期间，</w:t>
      </w:r>
      <w:r>
        <w:rPr>
          <w:rFonts w:hAnsi="宋体" w:cs="宋体"/>
          <w:sz w:val="21"/>
          <w:szCs w:val="21"/>
          <w:highlight w:val="none"/>
        </w:rPr>
        <w:t>提供</w:t>
      </w:r>
      <w:r>
        <w:rPr>
          <w:rFonts w:hint="eastAsia" w:hAnsi="宋体" w:cs="宋体"/>
          <w:sz w:val="21"/>
          <w:szCs w:val="21"/>
          <w:highlight w:val="none"/>
        </w:rPr>
        <w:t>驻点人员1名</w:t>
      </w:r>
      <w:r>
        <w:rPr>
          <w:rFonts w:hint="eastAsia" w:hAnsi="宋体" w:cs="宋体"/>
          <w:sz w:val="21"/>
          <w:szCs w:val="21"/>
          <w:highlight w:val="none"/>
          <w:lang w:eastAsia="zh-CN"/>
        </w:rPr>
        <w:t>（</w:t>
      </w:r>
      <w:r>
        <w:rPr>
          <w:rFonts w:hint="eastAsia" w:hAnsi="宋体" w:cs="宋体"/>
          <w:sz w:val="21"/>
          <w:szCs w:val="21"/>
          <w:highlight w:val="none"/>
          <w:lang w:val="en-US" w:eastAsia="zh-CN"/>
        </w:rPr>
        <w:t>一年</w:t>
      </w:r>
      <w:r>
        <w:rPr>
          <w:rFonts w:hint="eastAsia" w:hAnsi="宋体" w:cs="宋体"/>
          <w:sz w:val="21"/>
          <w:szCs w:val="21"/>
          <w:highlight w:val="none"/>
          <w:lang w:eastAsia="zh-CN"/>
        </w:rPr>
        <w:t>）</w:t>
      </w:r>
      <w:r>
        <w:rPr>
          <w:rFonts w:hint="eastAsia" w:hAnsi="宋体" w:cs="宋体"/>
          <w:sz w:val="21"/>
          <w:szCs w:val="21"/>
          <w:highlight w:val="none"/>
        </w:rPr>
        <w:t>，接受采购单位管理。</w:t>
      </w:r>
    </w:p>
    <w:p>
      <w:pPr>
        <w:snapToGrid w:val="0"/>
        <w:spacing w:line="500" w:lineRule="exact"/>
        <w:ind w:firstLine="422" w:firstLineChars="200"/>
        <w:rPr>
          <w:rFonts w:hAnsi="宋体" w:cs="宋体"/>
          <w:b/>
          <w:bCs/>
          <w:sz w:val="21"/>
          <w:szCs w:val="21"/>
          <w:highlight w:val="none"/>
        </w:rPr>
      </w:pPr>
      <w:r>
        <w:rPr>
          <w:rFonts w:hint="eastAsia" w:ascii="Trebuchet MS" w:hAnsi="Trebuchet MS"/>
          <w:b/>
          <w:bCs/>
          <w:sz w:val="21"/>
          <w:szCs w:val="21"/>
          <w:highlight w:val="none"/>
        </w:rPr>
        <w:t>四、</w:t>
      </w:r>
      <w:r>
        <w:rPr>
          <w:rFonts w:hint="eastAsia" w:hAnsi="宋体" w:cs="宋体"/>
          <w:b/>
          <w:bCs/>
          <w:sz w:val="21"/>
          <w:szCs w:val="21"/>
          <w:highlight w:val="none"/>
        </w:rPr>
        <w:t>工期</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建设期：自合同签订之日起60天内完成“中心存储服务”的设备部署、安装调试和系统集成（含机房集成）</w:t>
      </w:r>
      <w:r>
        <w:rPr>
          <w:rFonts w:hint="eastAsia" w:hAnsi="宋体" w:cs="宋体"/>
          <w:color w:val="000000"/>
          <w:sz w:val="21"/>
          <w:szCs w:val="21"/>
          <w:highlight w:val="none"/>
        </w:rPr>
        <w:t>雪亮平台接入工作</w:t>
      </w:r>
      <w:r>
        <w:rPr>
          <w:rFonts w:hint="eastAsia" w:hAnsi="宋体" w:cs="宋体"/>
          <w:sz w:val="21"/>
          <w:szCs w:val="21"/>
          <w:highlight w:val="none"/>
        </w:rPr>
        <w:t>。</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已建点位和新建点位的维保、机柜租赁、专网接入、人员驻点、雪亮平台的视频在线维保服务：自“中心存储服务”完成设备部署、安装调试和系统集成，并通过采购单位验收之日起1年。</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“中心存储服务”的设备质保期：3年，自“中心存储服务”的设备部署、安装调试和系统集成通过采购单位验收之日起。</w:t>
      </w:r>
    </w:p>
    <w:p>
      <w:pPr>
        <w:numPr>
          <w:ilvl w:val="1"/>
          <w:numId w:val="0"/>
        </w:numPr>
        <w:tabs>
          <w:tab w:val="left" w:pos="1134"/>
          <w:tab w:val="left" w:pos="1670"/>
        </w:tabs>
        <w:snapToGrid w:val="0"/>
        <w:spacing w:line="500" w:lineRule="exact"/>
        <w:ind w:firstLine="422" w:firstLineChars="200"/>
        <w:rPr>
          <w:rFonts w:ascii="Trebuchet MS" w:hAnsi="Trebuchet MS"/>
          <w:b/>
          <w:bCs/>
          <w:sz w:val="21"/>
          <w:szCs w:val="21"/>
          <w:highlight w:val="none"/>
        </w:rPr>
      </w:pPr>
      <w:r>
        <w:rPr>
          <w:rFonts w:hint="eastAsia" w:ascii="Trebuchet MS" w:hAnsi="Trebuchet MS"/>
          <w:b/>
          <w:bCs/>
          <w:sz w:val="21"/>
          <w:szCs w:val="21"/>
          <w:highlight w:val="none"/>
        </w:rPr>
        <w:t>五、采购内容清单</w:t>
      </w:r>
    </w:p>
    <w:tbl>
      <w:tblPr>
        <w:tblStyle w:val="46"/>
        <w:tblW w:w="499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5"/>
        <w:gridCol w:w="1934"/>
        <w:gridCol w:w="3709"/>
        <w:gridCol w:w="1021"/>
        <w:gridCol w:w="873"/>
        <w:gridCol w:w="12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序号</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项目</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要求</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数量</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数量</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已建点位</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提供已建点位1年维保</w:t>
            </w:r>
            <w:r>
              <w:rPr>
                <w:rFonts w:hint="eastAsia" w:hAnsi="宋体" w:cs="宋体"/>
                <w:sz w:val="21"/>
                <w:szCs w:val="21"/>
                <w:highlight w:val="none"/>
              </w:rPr>
              <w:t>服务。</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182</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家</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新建点位</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提供新建点位接入及1年维保</w:t>
            </w:r>
            <w:r>
              <w:rPr>
                <w:rFonts w:hint="eastAsia" w:hAnsi="宋体" w:cs="宋体"/>
                <w:sz w:val="21"/>
                <w:szCs w:val="21"/>
                <w:highlight w:val="none"/>
              </w:rPr>
              <w:t>服务</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173</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家</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3</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20M VPN专网接入</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20M VPN专网接入。1年。</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355</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条</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4</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1000M VPN专网接入</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1000M VPN专网接入。1年。</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条</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中心存储服务</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中心存储服务（存储不得少于30天），详见设备清单。</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项</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6</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机柜租赁</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租赁期：1年</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个</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7</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机房集成</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　</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项</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8</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雪亮平台接入</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含ICC平台，对接入的点位提供1年的视频在线维保服务</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186</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路</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39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9</w:t>
            </w:r>
          </w:p>
        </w:tc>
        <w:tc>
          <w:tcPr>
            <w:tcW w:w="101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驻点人员</w:t>
            </w:r>
          </w:p>
        </w:tc>
        <w:tc>
          <w:tcPr>
            <w:tcW w:w="1950"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1年</w:t>
            </w:r>
          </w:p>
        </w:tc>
        <w:tc>
          <w:tcPr>
            <w:tcW w:w="537"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c>
          <w:tcPr>
            <w:tcW w:w="459" w:type="pct"/>
            <w:shd w:val="clear" w:color="auto" w:fill="auto"/>
            <w:vAlign w:val="center"/>
          </w:tcPr>
          <w:p>
            <w:pPr>
              <w:widowControl/>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名</w:t>
            </w:r>
          </w:p>
        </w:tc>
        <w:tc>
          <w:tcPr>
            <w:tcW w:w="637" w:type="pct"/>
            <w:shd w:val="clear" w:color="auto" w:fill="auto"/>
            <w:vAlign w:val="center"/>
          </w:tcPr>
          <w:p>
            <w:pPr>
              <w:widowControl/>
              <w:spacing w:line="460" w:lineRule="exact"/>
              <w:jc w:val="center"/>
              <w:rPr>
                <w:rFonts w:hAnsi="宋体" w:cs="宋体"/>
                <w:color w:val="000000"/>
                <w:sz w:val="21"/>
                <w:szCs w:val="21"/>
                <w:highlight w:val="none"/>
              </w:rPr>
            </w:pPr>
          </w:p>
        </w:tc>
      </w:tr>
    </w:tbl>
    <w:p>
      <w:pPr>
        <w:widowControl/>
        <w:numPr>
          <w:ilvl w:val="1"/>
          <w:numId w:val="0"/>
        </w:numPr>
        <w:tabs>
          <w:tab w:val="left" w:pos="1134"/>
          <w:tab w:val="left" w:pos="1670"/>
        </w:tabs>
        <w:autoSpaceDE/>
        <w:autoSpaceDN/>
        <w:adjustRightInd/>
        <w:snapToGrid w:val="0"/>
        <w:spacing w:line="500" w:lineRule="exact"/>
        <w:ind w:left="415" w:leftChars="122"/>
        <w:rPr>
          <w:rFonts w:ascii="Trebuchet MS" w:hAnsi="Trebuchet MS"/>
          <w:b/>
          <w:bCs/>
          <w:sz w:val="21"/>
          <w:szCs w:val="21"/>
          <w:highlight w:val="none"/>
        </w:rPr>
      </w:pPr>
      <w:r>
        <w:rPr>
          <w:rFonts w:hint="eastAsia" w:ascii="Trebuchet MS" w:hAnsi="Trebuchet MS"/>
          <w:b/>
          <w:bCs/>
          <w:sz w:val="21"/>
          <w:szCs w:val="21"/>
          <w:highlight w:val="none"/>
        </w:rPr>
        <w:t>“中心存储服务”采购的设备清单：</w:t>
      </w:r>
    </w:p>
    <w:tbl>
      <w:tblPr>
        <w:tblStyle w:val="46"/>
        <w:tblW w:w="4995" w:type="pct"/>
        <w:tblInd w:w="0" w:type="dxa"/>
        <w:tblLayout w:type="fixed"/>
        <w:tblCellMar>
          <w:top w:w="0" w:type="dxa"/>
          <w:left w:w="108" w:type="dxa"/>
          <w:bottom w:w="0" w:type="dxa"/>
          <w:right w:w="108" w:type="dxa"/>
        </w:tblCellMar>
      </w:tblPr>
      <w:tblGrid>
        <w:gridCol w:w="642"/>
        <w:gridCol w:w="958"/>
        <w:gridCol w:w="6470"/>
        <w:gridCol w:w="717"/>
        <w:gridCol w:w="717"/>
      </w:tblGrid>
      <w:tr>
        <w:tblPrEx>
          <w:tblCellMar>
            <w:top w:w="0" w:type="dxa"/>
            <w:left w:w="108" w:type="dxa"/>
            <w:bottom w:w="0" w:type="dxa"/>
            <w:right w:w="108" w:type="dxa"/>
          </w:tblCellMar>
        </w:tblPrEx>
        <w:trPr>
          <w:trHeight w:val="270"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序号</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名称</w:t>
            </w:r>
          </w:p>
        </w:tc>
        <w:tc>
          <w:tcPr>
            <w:tcW w:w="34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参数</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数量</w:t>
            </w:r>
          </w:p>
        </w:tc>
        <w:tc>
          <w:tcPr>
            <w:tcW w:w="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单位</w:t>
            </w:r>
          </w:p>
        </w:tc>
      </w:tr>
      <w:tr>
        <w:tblPrEx>
          <w:tblCellMar>
            <w:top w:w="0" w:type="dxa"/>
            <w:left w:w="108" w:type="dxa"/>
            <w:bottom w:w="0" w:type="dxa"/>
            <w:right w:w="108" w:type="dxa"/>
          </w:tblCellMar>
        </w:tblPrEx>
        <w:trPr>
          <w:trHeight w:val="1632"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1</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磁盘阵列</w:t>
            </w:r>
          </w:p>
        </w:tc>
        <w:tc>
          <w:tcPr>
            <w:tcW w:w="340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textAlignment w:val="center"/>
              <w:rPr>
                <w:rFonts w:hAnsi="宋体" w:cs="宋体"/>
                <w:color w:val="000000"/>
                <w:sz w:val="21"/>
                <w:szCs w:val="21"/>
                <w:highlight w:val="none"/>
              </w:rPr>
            </w:pPr>
            <w:r>
              <w:rPr>
                <w:rFonts w:hint="eastAsia" w:hAnsi="宋体" w:cs="宋体"/>
                <w:color w:val="000000"/>
                <w:sz w:val="21"/>
                <w:szCs w:val="21"/>
                <w:highlight w:val="none"/>
                <w:lang w:bidi="ar"/>
              </w:rPr>
              <w:t>操作系统：嵌入式Linux操作系统；</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主处理器：64位高性能多核处理器；</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控制器：单控；</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高速缓存：标配8GB，可扩展至64GB；</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网络接口：4个RJ-45，10/100/1000Mbps自适应以太网口（千兆电口）1个RJ-45，10/100Mbps自适应以太网口（百兆电口）；</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视频直存（私有协议）：320路（800Mbps）接入，320路（800Mbps） 存储，320路（800Mbps） 转发，32路（64Mbps）网络回放；</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硬盘接口：48个，SATA，单盘容量支持1~18TB， 支持热插拔， 支持CMR， 支持企业盘</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▲具有备用电池模块，可安装2块电池，样机掉电时可保护缓存中数据，恢复供电后数据不丢失，可查看断电前10s、断电后17s的视频录像（提供公安部有效检测报告复印件）</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▲可支持不低于800MBps的图片并发输入，同时不低于800MBps图片并发输出（提供公安部有效检测报告复印件）</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▲设备可接入双音轨，可同时或分别播放左右音轨（提供公安部有效检测报告复印件）</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▲可通过IE 浏览器进行视频浏览、回放和下载；并支持多画面同时段录像同时回放，或不同时段录像同时回放；网络下载录像速度不低于150MB/s（提供公安部有效检测报告复印件）</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5</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套</w:t>
            </w:r>
          </w:p>
        </w:tc>
      </w:tr>
      <w:tr>
        <w:tblPrEx>
          <w:tblCellMar>
            <w:top w:w="0" w:type="dxa"/>
            <w:left w:w="108" w:type="dxa"/>
            <w:bottom w:w="0" w:type="dxa"/>
            <w:right w:w="108" w:type="dxa"/>
          </w:tblCellMar>
        </w:tblPrEx>
        <w:trPr>
          <w:trHeight w:val="285"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2</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硬盘</w:t>
            </w:r>
          </w:p>
        </w:tc>
        <w:tc>
          <w:tcPr>
            <w:tcW w:w="340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textAlignment w:val="center"/>
              <w:rPr>
                <w:rFonts w:hAnsi="宋体" w:cs="宋体"/>
                <w:color w:val="000000"/>
                <w:sz w:val="21"/>
                <w:szCs w:val="21"/>
                <w:highlight w:val="none"/>
              </w:rPr>
            </w:pPr>
            <w:r>
              <w:rPr>
                <w:rFonts w:hint="eastAsia" w:hAnsi="宋体" w:cs="宋体"/>
                <w:color w:val="000000"/>
                <w:sz w:val="21"/>
                <w:szCs w:val="21"/>
                <w:highlight w:val="none"/>
                <w:lang w:bidi="ar"/>
              </w:rPr>
              <w:t>4TB-256MB-7200RPM-3.5英寸-SATA接口-标准盘</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220</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块</w:t>
            </w:r>
          </w:p>
        </w:tc>
      </w:tr>
      <w:tr>
        <w:tblPrEx>
          <w:tblCellMar>
            <w:top w:w="0" w:type="dxa"/>
            <w:left w:w="108" w:type="dxa"/>
            <w:bottom w:w="0" w:type="dxa"/>
            <w:right w:w="108" w:type="dxa"/>
          </w:tblCellMar>
        </w:tblPrEx>
        <w:trPr>
          <w:trHeight w:val="510"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3</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24口交换机</w:t>
            </w:r>
          </w:p>
        </w:tc>
        <w:tc>
          <w:tcPr>
            <w:tcW w:w="340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交换容量:≥336Gbps，包转发率≥108Mpps（提供官网截图证明，若官网存在双指标，以较小为准）；</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≥24个10/100/1000Base-T以太网端口,≥4个万兆SFP+；</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实现CPU保护功能，能限制非法报文对CPU的攻击，保护交换机在各种环境下稳定工作。要求提供权威机构颁发的第三方测试报告；</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IP路由：支持静态路由、RIP、RIPng、OSPF；</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不需要额外软件网管，设备本身支持智能网关。可配合上端汇聚交换机设备实现整网拓扑可视，实现在网络设备上对整网交换机的统一管理，无需再额外配置网管平台。要求提供权威机构颁发的第三方测试报告；</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支持RRPP（快速环网保护协议），环网故障恢复时间不超过50ms；支持Smartlink，收敛时间≤50ms；</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支持IPv4和IPv6静态路由、RIP V1/V2、OSPF、RIPng、OSPF v3 ；</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支持业界领先的10KV业务端口防雷能力，使其在比较恶劣的工作环境中也能极大的降低雷击对设备的损坏率；</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要求提供ROHS节能认证；</w:t>
            </w:r>
          </w:p>
          <w:p>
            <w:pPr>
              <w:snapToGrid w:val="0"/>
              <w:spacing w:line="460" w:lineRule="exact"/>
              <w:textAlignment w:val="center"/>
              <w:rPr>
                <w:rFonts w:hAnsi="宋体" w:cs="宋体"/>
                <w:color w:val="000000"/>
                <w:sz w:val="21"/>
                <w:szCs w:val="21"/>
                <w:highlight w:val="none"/>
              </w:rPr>
            </w:pPr>
            <w:r>
              <w:rPr>
                <w:rFonts w:hint="eastAsia" w:hAnsi="宋体" w:cs="宋体"/>
                <w:color w:val="000000"/>
                <w:sz w:val="21"/>
                <w:szCs w:val="21"/>
                <w:highlight w:val="none"/>
                <w:lang w:bidi="ar"/>
              </w:rPr>
              <w:t>为考虑产品市场成熟度，提供产品的信产部入网证和检验报告；</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3</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台</w:t>
            </w:r>
          </w:p>
        </w:tc>
      </w:tr>
      <w:tr>
        <w:tblPrEx>
          <w:tblCellMar>
            <w:top w:w="0" w:type="dxa"/>
            <w:left w:w="108" w:type="dxa"/>
            <w:bottom w:w="0" w:type="dxa"/>
            <w:right w:w="108" w:type="dxa"/>
          </w:tblCellMar>
        </w:tblPrEx>
        <w:trPr>
          <w:trHeight w:val="1710"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4</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流媒体服务器</w:t>
            </w:r>
          </w:p>
        </w:tc>
        <w:tc>
          <w:tcPr>
            <w:tcW w:w="340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textAlignment w:val="center"/>
              <w:rPr>
                <w:rFonts w:hAnsi="宋体" w:cs="宋体"/>
                <w:color w:val="000000"/>
                <w:sz w:val="21"/>
                <w:szCs w:val="21"/>
                <w:highlight w:val="none"/>
              </w:rPr>
            </w:pPr>
            <w:r>
              <w:rPr>
                <w:rFonts w:hint="eastAsia" w:hAnsi="宋体" w:cs="宋体"/>
                <w:color w:val="000000"/>
                <w:sz w:val="21"/>
                <w:szCs w:val="21"/>
                <w:highlight w:val="none"/>
                <w:lang w:bidi="ar"/>
              </w:rPr>
              <w:t>处理器：配置1颗Hygon 3185 3.0G 16M 8C 95W CPU。</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内存：配置2条16GB DDR4 2666 REG内存； 配置4根内存插槽,最大可扩展至256B内存，支持Non ECC UDIMM/ECC UDIMM/RDIMM。</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硬盘：配置2块2T 3.5吋 6GbSATA热插拔硬盘； 最大支持4块3.5吋/2.5吋SSD/SAS/SATA硬盘。</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机械盘需写明转速、接口、传输速率：7200转，SATA接口，6Gb/s</w:t>
            </w:r>
            <w:r>
              <w:rPr>
                <w:rFonts w:hint="eastAsia" w:hAnsi="宋体" w:cs="宋体"/>
                <w:color w:val="000000"/>
                <w:sz w:val="21"/>
                <w:szCs w:val="21"/>
                <w:highlight w:val="none"/>
                <w:lang w:bidi="ar"/>
              </w:rPr>
              <w:br w:type="textWrapping"/>
            </w:r>
            <w:r>
              <w:rPr>
                <w:rFonts w:hint="eastAsia" w:hAnsi="宋体" w:cs="宋体"/>
                <w:color w:val="000000"/>
                <w:sz w:val="21"/>
                <w:szCs w:val="21"/>
                <w:highlight w:val="none"/>
                <w:lang w:bidi="ar"/>
              </w:rPr>
              <w:t>RAID控制器：LSI SAS3008 SAS卡/无缓存</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Ansi="宋体" w:cs="宋体"/>
                <w:color w:val="000000"/>
                <w:sz w:val="21"/>
                <w:szCs w:val="21"/>
                <w:highlight w:val="none"/>
                <w:lang w:bidi="ar"/>
              </w:rPr>
              <w:t>3</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rPr>
            </w:pPr>
            <w:r>
              <w:rPr>
                <w:rFonts w:hint="eastAsia" w:hAnsi="宋体" w:cs="宋体"/>
                <w:color w:val="000000"/>
                <w:sz w:val="21"/>
                <w:szCs w:val="21"/>
                <w:highlight w:val="none"/>
                <w:lang w:bidi="ar"/>
              </w:rPr>
              <w:t>台</w:t>
            </w:r>
          </w:p>
        </w:tc>
      </w:tr>
      <w:tr>
        <w:tblPrEx>
          <w:tblCellMar>
            <w:top w:w="0" w:type="dxa"/>
            <w:left w:w="108" w:type="dxa"/>
            <w:bottom w:w="0" w:type="dxa"/>
            <w:right w:w="108" w:type="dxa"/>
          </w:tblCellMar>
        </w:tblPrEx>
        <w:trPr>
          <w:trHeight w:val="1710" w:hRule="atLeast"/>
        </w:trPr>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spacing w:line="460" w:lineRule="exact"/>
              <w:jc w:val="center"/>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5</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存储服务器</w:t>
            </w:r>
          </w:p>
        </w:tc>
        <w:tc>
          <w:tcPr>
            <w:tcW w:w="340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≥2U机架式</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≥1颗Intel 4208 CPU</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Advanced ECC、内存镜像、内存热备</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≥2*16GB DDR4内存</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最大支持24根DDR4内存，最高速率2933MT/s，支持RDIMM或LRDIMM，最大容量3.0TB</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≥2块600G 10K硬盘</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配置≥8个2.5寸热插拔硬盘槽位</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≥1个2端口SAS HBA卡；</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最多提供≥10个PCIe 3.0可用插槽</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配置≥4个千兆电口，≥2个万兆光口，≥2个SFP+ 万兆模块(850nm,300m,LC)</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▲可配置≥3块双宽或8块单宽GPU卡，提供官网截图</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▲≥5个USB3.0接口，最高可扩展至6个USB接口；标配1个VGA，可选配支持最高2个VGA接口；支持后部独立的管理端口；</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标配1个串口。</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≥550w白金版热插拔冗余电源</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热插拔冗余风扇</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支持最高5-50°C标准工作温度</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配置≥1Gb独立的远程管理控制端口；</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配置虚拟KVM功能, 可实现与操作系统无关的远程对服务器的完全控制，包括远程的开机、关机、重启、更新Firmware、虚拟光驱、虚拟文件夹等操作，提供服务器健康日记、服务器控制台录屏/回放功能，能够提供电源监控，支持3D图形化的机箱内部温度拓扑图显示，可支持动态功率封顶。</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支持SNMP、SMTP、短信、微信、语音告警</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支持OTP(One Time Password一次性密码)方案的双因素认证方案，提高系统安全性</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用户(本地、远程)统一配置到不同的角色组，用户的权限由角色组定义，提高系统安全性</w:t>
            </w:r>
          </w:p>
          <w:p>
            <w:pPr>
              <w:snapToGrid w:val="0"/>
              <w:spacing w:line="460" w:lineRule="exact"/>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▲提供UEFI安全启动；支持中国标准TCM 1.0可信计算。（支持国际标准TPM模块）。支持机箱入侵侦测，在外部打开机箱时提供报警功能</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Ansi="宋体" w:cs="宋体"/>
                <w:color w:val="000000"/>
                <w:sz w:val="21"/>
                <w:szCs w:val="21"/>
                <w:highlight w:val="none"/>
                <w:lang w:bidi="ar"/>
              </w:rPr>
            </w:pPr>
            <w:r>
              <w:rPr>
                <w:rFonts w:hint="eastAsia" w:hAnsi="宋体" w:cs="宋体"/>
                <w:color w:val="000000"/>
                <w:sz w:val="21"/>
                <w:szCs w:val="21"/>
                <w:highlight w:val="none"/>
                <w:lang w:bidi="ar"/>
              </w:rPr>
              <w:t>2</w:t>
            </w:r>
          </w:p>
        </w:tc>
        <w:tc>
          <w:tcPr>
            <w:tcW w:w="377"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460" w:lineRule="exact"/>
              <w:jc w:val="center"/>
              <w:textAlignment w:val="center"/>
              <w:rPr>
                <w:rFonts w:hint="eastAsia" w:hAnsi="宋体" w:cs="宋体"/>
                <w:color w:val="000000"/>
                <w:sz w:val="21"/>
                <w:szCs w:val="21"/>
                <w:highlight w:val="none"/>
                <w:lang w:bidi="ar"/>
              </w:rPr>
            </w:pPr>
            <w:r>
              <w:rPr>
                <w:rFonts w:hint="eastAsia" w:hAnsi="宋体" w:cs="宋体"/>
                <w:color w:val="000000"/>
                <w:sz w:val="21"/>
                <w:szCs w:val="21"/>
                <w:highlight w:val="none"/>
                <w:lang w:bidi="ar"/>
              </w:rPr>
              <w:t>台</w:t>
            </w:r>
          </w:p>
        </w:tc>
      </w:tr>
    </w:tbl>
    <w:p>
      <w:pPr>
        <w:widowControl/>
        <w:numPr>
          <w:ilvl w:val="1"/>
          <w:numId w:val="0"/>
        </w:numPr>
        <w:tabs>
          <w:tab w:val="left" w:pos="1134"/>
          <w:tab w:val="left" w:pos="1670"/>
        </w:tabs>
        <w:autoSpaceDE/>
        <w:autoSpaceDN/>
        <w:adjustRightInd/>
        <w:snapToGrid w:val="0"/>
        <w:spacing w:line="500" w:lineRule="exact"/>
        <w:ind w:left="415" w:leftChars="122"/>
        <w:rPr>
          <w:rFonts w:ascii="Trebuchet MS" w:hAnsi="Trebuchet MS"/>
          <w:b/>
          <w:bCs/>
          <w:sz w:val="21"/>
          <w:szCs w:val="21"/>
          <w:highlight w:val="none"/>
        </w:rPr>
      </w:pPr>
      <w:r>
        <w:rPr>
          <w:rFonts w:hint="eastAsia" w:ascii="Trebuchet MS" w:hAnsi="Trebuchet MS"/>
          <w:b/>
          <w:bCs/>
          <w:sz w:val="21"/>
          <w:szCs w:val="21"/>
          <w:highlight w:val="none"/>
        </w:rPr>
        <w:t>六、日常巡检服务及要求</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做好固废、危险废物视频监控平台的系统定期巡检服务，每个季度完成一次现场巡检工作，每两周完成一次平台巡检工作，若有特殊情况需要做到一周巡检一次，巡检结果以文档形式反馈，并及时解决系统中所碰到的各种问题。对于巡检过程中出现的各种技术问题（包括设备操作上的问题），给予耐心详细的解答。</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备品备件：为了最大限度地发挥保障的功效，缩短维修时间，投标人需提供相应的备品备件，以确保各系统的正常运行。</w:t>
      </w:r>
    </w:p>
    <w:p>
      <w:pPr>
        <w:numPr>
          <w:ilvl w:val="1"/>
          <w:numId w:val="0"/>
        </w:numPr>
        <w:tabs>
          <w:tab w:val="left" w:pos="1134"/>
          <w:tab w:val="left" w:pos="1670"/>
        </w:tabs>
        <w:snapToGrid w:val="0"/>
        <w:spacing w:line="500" w:lineRule="exact"/>
        <w:ind w:firstLine="422" w:firstLineChars="200"/>
        <w:rPr>
          <w:rFonts w:ascii="Trebuchet MS" w:hAnsi="Trebuchet MS"/>
          <w:b/>
          <w:bCs/>
          <w:sz w:val="21"/>
          <w:szCs w:val="21"/>
          <w:highlight w:val="none"/>
        </w:rPr>
      </w:pPr>
      <w:r>
        <w:rPr>
          <w:rFonts w:hint="eastAsia" w:ascii="Trebuchet MS" w:hAnsi="Trebuchet MS"/>
          <w:b/>
          <w:bCs/>
          <w:sz w:val="21"/>
          <w:szCs w:val="21"/>
          <w:highlight w:val="none"/>
        </w:rPr>
        <w:t>七、维保服务期内交付文档</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为了便于采购单位及时了解维保服务的执行情况，在维保服务期内投标人需提供以下文档和报告。</w:t>
      </w:r>
    </w:p>
    <w:p>
      <w:pPr>
        <w:snapToGrid w:val="0"/>
        <w:spacing w:line="500" w:lineRule="exact"/>
        <w:ind w:firstLine="420" w:firstLineChars="200"/>
        <w:textAlignment w:val="baseline"/>
        <w:rPr>
          <w:rFonts w:hAnsi="宋体" w:cs="宋体"/>
          <w:sz w:val="21"/>
          <w:szCs w:val="21"/>
          <w:highlight w:val="none"/>
        </w:rPr>
      </w:pPr>
      <w:bookmarkStart w:id="37" w:name="_Toc75321716"/>
      <w:bookmarkStart w:id="38" w:name="_Toc85434747"/>
      <w:bookmarkStart w:id="39" w:name="_Toc85434262"/>
      <w:r>
        <w:rPr>
          <w:rFonts w:hint="eastAsia" w:hAnsi="宋体" w:cs="宋体"/>
          <w:sz w:val="21"/>
          <w:szCs w:val="21"/>
          <w:highlight w:val="none"/>
        </w:rPr>
        <w:t>1.维保现场服务报告：在提供每次现场服务时，需填写：《维保现场服务报告》，提供详细的操作日志。</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2.重大故障分析报告：在重大故障发生后2个工作日内，提供详细故障分析报告。内容包括事件发生的时间、地点、状况、受到影响的范围、事故原因、处理结果、责任认定、未来防范措施等。</w:t>
      </w:r>
    </w:p>
    <w:p>
      <w:pPr>
        <w:snapToGrid w:val="0"/>
        <w:spacing w:line="500" w:lineRule="exact"/>
        <w:ind w:firstLine="420" w:firstLineChars="200"/>
        <w:textAlignment w:val="baseline"/>
        <w:rPr>
          <w:rFonts w:hAnsi="宋体" w:cs="宋体"/>
          <w:sz w:val="21"/>
          <w:szCs w:val="21"/>
          <w:highlight w:val="none"/>
        </w:rPr>
      </w:pPr>
      <w:bookmarkStart w:id="40" w:name="_Toc98174419"/>
      <w:r>
        <w:rPr>
          <w:rFonts w:hint="eastAsia" w:hAnsi="宋体" w:cs="宋体"/>
          <w:sz w:val="21"/>
          <w:szCs w:val="21"/>
          <w:highlight w:val="none"/>
        </w:rPr>
        <w:t>3.月度服务清单</w:t>
      </w:r>
      <w:bookmarkEnd w:id="40"/>
      <w:r>
        <w:rPr>
          <w:rFonts w:hint="eastAsia" w:hAnsi="宋体" w:cs="宋体"/>
          <w:sz w:val="21"/>
          <w:szCs w:val="21"/>
          <w:highlight w:val="none"/>
        </w:rPr>
        <w:t>：每月10日向采购人提供上一个月的《月度服务清单》，以便全面了解系统的运行及维护状况。月度服务清单中每次服务内容包括日期、故障设备、故障描述、故障状态、确认人、联系方法等。</w:t>
      </w:r>
    </w:p>
    <w:p>
      <w:pPr>
        <w:snapToGrid w:val="0"/>
        <w:spacing w:line="500" w:lineRule="exact"/>
        <w:ind w:firstLine="420" w:firstLineChars="200"/>
        <w:textAlignment w:val="baseline"/>
        <w:rPr>
          <w:rFonts w:hAnsi="宋体" w:cs="宋体"/>
          <w:sz w:val="21"/>
          <w:szCs w:val="21"/>
          <w:highlight w:val="none"/>
        </w:rPr>
      </w:pPr>
      <w:bookmarkStart w:id="41" w:name="_Toc98174422"/>
      <w:r>
        <w:rPr>
          <w:rFonts w:hint="eastAsia" w:hAnsi="宋体" w:cs="宋体"/>
          <w:sz w:val="21"/>
          <w:szCs w:val="21"/>
          <w:highlight w:val="none"/>
        </w:rPr>
        <w:t>4.年度服务清单</w:t>
      </w:r>
      <w:bookmarkEnd w:id="41"/>
      <w:r>
        <w:rPr>
          <w:rFonts w:hint="eastAsia" w:hAnsi="宋体" w:cs="宋体"/>
          <w:sz w:val="21"/>
          <w:szCs w:val="21"/>
          <w:highlight w:val="none"/>
        </w:rPr>
        <w:t>：负责在合同期结束10天内，提供《年度服务清单》，每项服务内容同《月度服务清单》，并根据《年度服务清单》，对整年的维保进行成本费用分析。</w:t>
      </w:r>
    </w:p>
    <w:p>
      <w:pPr>
        <w:snapToGrid w:val="0"/>
        <w:spacing w:line="500" w:lineRule="exact"/>
        <w:ind w:firstLine="420" w:firstLineChars="200"/>
        <w:rPr>
          <w:rFonts w:ascii="Times New Roman"/>
          <w:sz w:val="21"/>
          <w:szCs w:val="21"/>
          <w:highlight w:val="none"/>
        </w:rPr>
      </w:pPr>
      <w:bookmarkStart w:id="42" w:name="_Toc98174423"/>
      <w:r>
        <w:rPr>
          <w:rFonts w:hint="eastAsia" w:hAnsi="宋体" w:cs="宋体"/>
          <w:sz w:val="21"/>
          <w:szCs w:val="21"/>
          <w:highlight w:val="none"/>
        </w:rPr>
        <w:t>5.年度维保服务报告</w:t>
      </w:r>
      <w:bookmarkEnd w:id="42"/>
      <w:r>
        <w:rPr>
          <w:rFonts w:hint="eastAsia" w:hAnsi="宋体" w:cs="宋体"/>
          <w:sz w:val="21"/>
          <w:szCs w:val="21"/>
          <w:highlight w:val="none"/>
        </w:rPr>
        <w:t>：负责在合同期结束10天内，提供《年度维保服务报告》，对全年的维保服务进行分析和总结。</w:t>
      </w:r>
      <w:bookmarkEnd w:id="37"/>
      <w:bookmarkEnd w:id="38"/>
      <w:bookmarkEnd w:id="39"/>
    </w:p>
    <w:p>
      <w:pPr>
        <w:numPr>
          <w:ilvl w:val="1"/>
          <w:numId w:val="0"/>
        </w:numPr>
        <w:tabs>
          <w:tab w:val="left" w:pos="1134"/>
          <w:tab w:val="left" w:pos="1670"/>
        </w:tabs>
        <w:snapToGrid w:val="0"/>
        <w:spacing w:line="500" w:lineRule="exact"/>
        <w:ind w:firstLine="422" w:firstLineChars="200"/>
        <w:rPr>
          <w:rFonts w:ascii="Trebuchet MS" w:hAnsi="Trebuchet MS"/>
          <w:b/>
          <w:bCs/>
          <w:sz w:val="21"/>
          <w:szCs w:val="21"/>
          <w:highlight w:val="none"/>
        </w:rPr>
      </w:pPr>
      <w:r>
        <w:rPr>
          <w:rFonts w:hint="eastAsia" w:ascii="Trebuchet MS" w:hAnsi="Trebuchet MS"/>
          <w:b/>
          <w:bCs/>
          <w:sz w:val="21"/>
          <w:szCs w:val="21"/>
          <w:highlight w:val="none"/>
        </w:rPr>
        <w:t>八、服务响应要求</w:t>
      </w:r>
    </w:p>
    <w:p>
      <w:pPr>
        <w:snapToGrid w:val="0"/>
        <w:spacing w:line="500" w:lineRule="exact"/>
        <w:ind w:firstLine="420" w:firstLineChars="200"/>
        <w:textAlignment w:val="baseline"/>
        <w:rPr>
          <w:rFonts w:hAnsi="宋体" w:cs="宋体"/>
          <w:sz w:val="21"/>
          <w:szCs w:val="21"/>
          <w:highlight w:val="none"/>
        </w:rPr>
      </w:pPr>
      <w:r>
        <w:rPr>
          <w:rFonts w:hint="eastAsia" w:hAnsi="宋体" w:cs="宋体"/>
          <w:sz w:val="21"/>
          <w:szCs w:val="21"/>
          <w:highlight w:val="none"/>
        </w:rPr>
        <w:t>本项目应急响应时间见下表：</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7"/>
        <w:gridCol w:w="1225"/>
        <w:gridCol w:w="1982"/>
        <w:gridCol w:w="2046"/>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7" w:type="dxa"/>
            <w:vAlign w:val="center"/>
          </w:tcPr>
          <w:p>
            <w:pPr>
              <w:widowControl/>
              <w:snapToGrid w:val="0"/>
              <w:spacing w:line="500" w:lineRule="exact"/>
              <w:jc w:val="center"/>
              <w:textAlignment w:val="baseline"/>
              <w:rPr>
                <w:rFonts w:hAnsi="宋体" w:cs="宋体"/>
                <w:sz w:val="21"/>
                <w:szCs w:val="21"/>
                <w:highlight w:val="none"/>
              </w:rPr>
            </w:pPr>
            <w:r>
              <w:rPr>
                <w:rFonts w:hint="eastAsia" w:hAnsi="宋体" w:cs="宋体"/>
                <w:sz w:val="21"/>
                <w:szCs w:val="21"/>
                <w:highlight w:val="none"/>
              </w:rPr>
              <w:t>故障级别</w:t>
            </w:r>
          </w:p>
        </w:tc>
        <w:tc>
          <w:tcPr>
            <w:tcW w:w="1225" w:type="dxa"/>
            <w:vAlign w:val="center"/>
          </w:tcPr>
          <w:p>
            <w:pPr>
              <w:widowControl/>
              <w:snapToGrid w:val="0"/>
              <w:spacing w:line="500" w:lineRule="exact"/>
              <w:jc w:val="center"/>
              <w:textAlignment w:val="baseline"/>
              <w:rPr>
                <w:rFonts w:hAnsi="宋体" w:cs="宋体"/>
                <w:sz w:val="21"/>
                <w:szCs w:val="21"/>
                <w:highlight w:val="none"/>
              </w:rPr>
            </w:pPr>
            <w:r>
              <w:rPr>
                <w:rFonts w:hint="eastAsia" w:hAnsi="宋体" w:cs="宋体"/>
                <w:sz w:val="21"/>
                <w:szCs w:val="21"/>
                <w:highlight w:val="none"/>
              </w:rPr>
              <w:t>响应时间</w:t>
            </w:r>
          </w:p>
        </w:tc>
        <w:tc>
          <w:tcPr>
            <w:tcW w:w="1982" w:type="dxa"/>
            <w:vAlign w:val="center"/>
          </w:tcPr>
          <w:p>
            <w:pPr>
              <w:widowControl/>
              <w:snapToGrid w:val="0"/>
              <w:spacing w:line="500" w:lineRule="exact"/>
              <w:jc w:val="center"/>
              <w:textAlignment w:val="baseline"/>
              <w:rPr>
                <w:rFonts w:hAnsi="宋体" w:cs="宋体"/>
                <w:sz w:val="21"/>
                <w:szCs w:val="21"/>
                <w:highlight w:val="none"/>
              </w:rPr>
            </w:pPr>
            <w:r>
              <w:rPr>
                <w:rFonts w:hint="eastAsia" w:hAnsi="宋体" w:cs="宋体"/>
                <w:sz w:val="21"/>
                <w:szCs w:val="21"/>
                <w:highlight w:val="none"/>
              </w:rPr>
              <w:t>技术人员到场时间</w:t>
            </w:r>
          </w:p>
        </w:tc>
        <w:tc>
          <w:tcPr>
            <w:tcW w:w="2046" w:type="dxa"/>
            <w:vAlign w:val="center"/>
          </w:tcPr>
          <w:p>
            <w:pPr>
              <w:widowControl/>
              <w:snapToGrid w:val="0"/>
              <w:spacing w:line="500" w:lineRule="exact"/>
              <w:jc w:val="center"/>
              <w:textAlignment w:val="baseline"/>
              <w:rPr>
                <w:rFonts w:hAnsi="宋体" w:cs="宋体"/>
                <w:sz w:val="21"/>
                <w:szCs w:val="21"/>
                <w:highlight w:val="none"/>
              </w:rPr>
            </w:pPr>
            <w:r>
              <w:rPr>
                <w:rFonts w:hint="eastAsia" w:hAnsi="宋体" w:cs="宋体"/>
                <w:sz w:val="21"/>
                <w:szCs w:val="21"/>
                <w:highlight w:val="none"/>
              </w:rPr>
              <w:t>提出解决方案</w:t>
            </w:r>
          </w:p>
        </w:tc>
        <w:tc>
          <w:tcPr>
            <w:tcW w:w="1328" w:type="dxa"/>
            <w:vAlign w:val="center"/>
          </w:tcPr>
          <w:p>
            <w:pPr>
              <w:widowControl/>
              <w:snapToGrid w:val="0"/>
              <w:spacing w:line="500" w:lineRule="exact"/>
              <w:jc w:val="center"/>
              <w:textAlignment w:val="baseline"/>
              <w:rPr>
                <w:rFonts w:hAnsi="宋体" w:cs="宋体"/>
                <w:sz w:val="21"/>
                <w:szCs w:val="21"/>
                <w:highlight w:val="none"/>
              </w:rPr>
            </w:pPr>
            <w:r>
              <w:rPr>
                <w:rFonts w:hint="eastAsia" w:hAnsi="宋体" w:cs="宋体"/>
                <w:sz w:val="21"/>
                <w:szCs w:val="21"/>
                <w:highlight w:val="none"/>
              </w:rPr>
              <w:t>解决时间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2797"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I级：属于重特大故障：其具体现象为：设备、线路全面瘫痪。</w:t>
            </w:r>
          </w:p>
        </w:tc>
        <w:tc>
          <w:tcPr>
            <w:tcW w:w="1225"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半小时内</w:t>
            </w:r>
          </w:p>
        </w:tc>
        <w:tc>
          <w:tcPr>
            <w:tcW w:w="1982"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1小时以内到达现场</w:t>
            </w:r>
          </w:p>
        </w:tc>
        <w:tc>
          <w:tcPr>
            <w:tcW w:w="2046"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到达现场后1小时内提交故障解决方案</w:t>
            </w:r>
          </w:p>
        </w:tc>
        <w:tc>
          <w:tcPr>
            <w:tcW w:w="1328"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6小时以内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2797"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II级：属于严重问题；其具体现象为：部分设备、线路发生故障或小面积瘫痪但不影响系统整体运行。</w:t>
            </w:r>
          </w:p>
        </w:tc>
        <w:tc>
          <w:tcPr>
            <w:tcW w:w="1225"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半小时内</w:t>
            </w:r>
          </w:p>
        </w:tc>
        <w:tc>
          <w:tcPr>
            <w:tcW w:w="1982"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1小时以内到达现场</w:t>
            </w:r>
          </w:p>
        </w:tc>
        <w:tc>
          <w:tcPr>
            <w:tcW w:w="2046"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到达现场后1小时内提交故障解决方案</w:t>
            </w:r>
          </w:p>
        </w:tc>
        <w:tc>
          <w:tcPr>
            <w:tcW w:w="1328"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2小时以内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2797"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III级：属于较严重问题；其具体现象为：小部分设备、线路故障或出现报错、告警或故障。</w:t>
            </w:r>
          </w:p>
        </w:tc>
        <w:tc>
          <w:tcPr>
            <w:tcW w:w="1225"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半小时内</w:t>
            </w:r>
          </w:p>
        </w:tc>
        <w:tc>
          <w:tcPr>
            <w:tcW w:w="1982"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1小时以内到达现场</w:t>
            </w:r>
          </w:p>
        </w:tc>
        <w:tc>
          <w:tcPr>
            <w:tcW w:w="2046"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到达现场后1小时内提交故障解决方案</w:t>
            </w:r>
          </w:p>
        </w:tc>
        <w:tc>
          <w:tcPr>
            <w:tcW w:w="1328"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2小时以内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2797"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IV级：属于普通问题：其具体现象为：前端监控点单个摄像机故障、前端监控点传输设备或线路故障。</w:t>
            </w:r>
          </w:p>
        </w:tc>
        <w:tc>
          <w:tcPr>
            <w:tcW w:w="1225"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半小时内</w:t>
            </w:r>
          </w:p>
        </w:tc>
        <w:tc>
          <w:tcPr>
            <w:tcW w:w="1982"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1小时内到达现场</w:t>
            </w:r>
          </w:p>
        </w:tc>
        <w:tc>
          <w:tcPr>
            <w:tcW w:w="2046"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即时提交或到达现场后1小时内提交解决方案</w:t>
            </w:r>
          </w:p>
        </w:tc>
        <w:tc>
          <w:tcPr>
            <w:tcW w:w="1328" w:type="dxa"/>
            <w:vAlign w:val="center"/>
          </w:tcPr>
          <w:p>
            <w:pPr>
              <w:widowControl/>
              <w:snapToGrid w:val="0"/>
              <w:spacing w:line="500" w:lineRule="exact"/>
              <w:textAlignment w:val="baseline"/>
              <w:rPr>
                <w:rFonts w:hAnsi="宋体" w:cs="宋体"/>
                <w:sz w:val="21"/>
                <w:szCs w:val="21"/>
                <w:highlight w:val="none"/>
              </w:rPr>
            </w:pPr>
            <w:r>
              <w:rPr>
                <w:rFonts w:hint="eastAsia" w:hAnsi="宋体" w:cs="宋体"/>
                <w:sz w:val="21"/>
                <w:szCs w:val="21"/>
                <w:highlight w:val="none"/>
              </w:rPr>
              <w:t>2小时以内</w:t>
            </w:r>
          </w:p>
        </w:tc>
      </w:tr>
    </w:tbl>
    <w:p>
      <w:pPr>
        <w:numPr>
          <w:ilvl w:val="1"/>
          <w:numId w:val="0"/>
        </w:numPr>
        <w:tabs>
          <w:tab w:val="left" w:pos="1134"/>
          <w:tab w:val="left" w:pos="1670"/>
        </w:tabs>
        <w:snapToGrid w:val="0"/>
        <w:spacing w:line="500" w:lineRule="exact"/>
        <w:ind w:left="394" w:leftChars="116"/>
        <w:rPr>
          <w:rFonts w:hAnsi="宋体" w:cs="宋体"/>
          <w:b/>
          <w:bCs/>
          <w:sz w:val="21"/>
          <w:szCs w:val="21"/>
          <w:highlight w:val="none"/>
        </w:rPr>
      </w:pPr>
      <w:r>
        <w:rPr>
          <w:rFonts w:hint="eastAsia" w:hAnsi="宋体" w:cs="宋体"/>
          <w:b/>
          <w:bCs/>
          <w:sz w:val="21"/>
          <w:szCs w:val="21"/>
          <w:highlight w:val="none"/>
        </w:rPr>
        <w:t>九、服务清单</w:t>
      </w:r>
      <w:r>
        <w:rPr>
          <w:rFonts w:hint="eastAsia" w:hAnsi="宋体" w:cs="宋体"/>
          <w:b/>
          <w:bCs/>
          <w:sz w:val="21"/>
          <w:szCs w:val="21"/>
          <w:highlight w:val="none"/>
        </w:rPr>
        <w:br w:type="textWrapping"/>
      </w:r>
      <w:r>
        <w:rPr>
          <w:rFonts w:hint="eastAsia" w:hAnsi="宋体" w:cs="宋体"/>
          <w:b/>
          <w:bCs/>
          <w:sz w:val="21"/>
          <w:szCs w:val="21"/>
          <w:highlight w:val="none"/>
        </w:rPr>
        <w:t>1.新建点位清单</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900"/>
        <w:gridCol w:w="1755"/>
        <w:gridCol w:w="2324"/>
        <w:gridCol w:w="921"/>
        <w:gridCol w:w="921"/>
        <w:gridCol w:w="1063"/>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0" w:type="auto"/>
            <w:gridSpan w:val="8"/>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新建点位清单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vMerge w:val="restart"/>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序号</w:t>
            </w:r>
          </w:p>
        </w:tc>
        <w:tc>
          <w:tcPr>
            <w:tcW w:w="900" w:type="dxa"/>
            <w:vMerge w:val="restart"/>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县市区</w:t>
            </w:r>
          </w:p>
        </w:tc>
        <w:tc>
          <w:tcPr>
            <w:tcW w:w="1755" w:type="dxa"/>
            <w:vMerge w:val="restart"/>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企业名称（30吨以上拟安装企业）</w:t>
            </w:r>
          </w:p>
        </w:tc>
        <w:tc>
          <w:tcPr>
            <w:tcW w:w="2324" w:type="dxa"/>
            <w:vMerge w:val="restart"/>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企业地址</w:t>
            </w:r>
          </w:p>
        </w:tc>
        <w:tc>
          <w:tcPr>
            <w:tcW w:w="0" w:type="auto"/>
            <w:gridSpan w:val="2"/>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出入口</w:t>
            </w:r>
          </w:p>
        </w:tc>
        <w:tc>
          <w:tcPr>
            <w:tcW w:w="0" w:type="auto"/>
            <w:gridSpan w:val="2"/>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企业内部摄像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vMerge w:val="continue"/>
            <w:vAlign w:val="center"/>
          </w:tcPr>
          <w:p>
            <w:pPr>
              <w:snapToGrid w:val="0"/>
              <w:rPr>
                <w:rFonts w:hAnsi="宋体" w:cs="宋体"/>
                <w:color w:val="000000"/>
                <w:sz w:val="21"/>
                <w:szCs w:val="21"/>
                <w:highlight w:val="none"/>
              </w:rPr>
            </w:pPr>
          </w:p>
        </w:tc>
        <w:tc>
          <w:tcPr>
            <w:tcW w:w="900" w:type="dxa"/>
            <w:vMerge w:val="continue"/>
            <w:vAlign w:val="center"/>
          </w:tcPr>
          <w:p>
            <w:pPr>
              <w:snapToGrid w:val="0"/>
              <w:rPr>
                <w:rFonts w:hAnsi="宋体" w:cs="宋体"/>
                <w:color w:val="000000"/>
                <w:sz w:val="21"/>
                <w:szCs w:val="21"/>
                <w:highlight w:val="none"/>
              </w:rPr>
            </w:pPr>
          </w:p>
        </w:tc>
        <w:tc>
          <w:tcPr>
            <w:tcW w:w="1755" w:type="dxa"/>
            <w:vMerge w:val="continue"/>
            <w:vAlign w:val="center"/>
          </w:tcPr>
          <w:p>
            <w:pPr>
              <w:snapToGrid w:val="0"/>
              <w:rPr>
                <w:rFonts w:hAnsi="宋体" w:cs="宋体"/>
                <w:color w:val="000000"/>
                <w:sz w:val="21"/>
                <w:szCs w:val="21"/>
                <w:highlight w:val="none"/>
              </w:rPr>
            </w:pPr>
          </w:p>
        </w:tc>
        <w:tc>
          <w:tcPr>
            <w:tcW w:w="2324" w:type="dxa"/>
            <w:vMerge w:val="continue"/>
            <w:vAlign w:val="center"/>
          </w:tcPr>
          <w:p>
            <w:pPr>
              <w:snapToGrid w:val="0"/>
              <w:rPr>
                <w:rFonts w:hAnsi="宋体" w:cs="宋体"/>
                <w:color w:val="000000"/>
                <w:sz w:val="21"/>
                <w:szCs w:val="21"/>
                <w:highlight w:val="none"/>
              </w:rPr>
            </w:pP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出口（个数）</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入口（个数）</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磅秤位置（个数）</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仓库位置（个数）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今飞摩轮制造有限公司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婺城区乾西仙华南街800号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浙江创大实业有限公司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婺城区临江工业区大岩路868号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浙江远大铝业有限公司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婺城区白龙桥乾南街388号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浙江金宇铝业制造有限公司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婺城区乾西工贸街167号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金华市金杰铝业有限公司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婺城区蒋堂镇</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金东区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金华市万润环保科技有限公司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金东区赤松镇金园路1188号1号厂房</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开发区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金华博蓝特新材料有限公司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金华市秋滨街道南二环西路2688号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开发区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浙江圣力邦漆业有限公司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金华市罗埠镇宋家畈村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开发区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浙江合糖科技有限公司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金华市汤溪镇福民路158号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开发区</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浙江大明传动科技股份有限公司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金华市秋滨街道熟溪路911号4号厂房1楼</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东阳纳海环境科技有限公司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东阳市南市街道茶园村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义乌市诗艺饰品有限公司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义乌市廿三里街道义东工业区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义乌市朵莉宝贝饰品有限公司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义乌市苏溪镇苏和路32号1楼</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义乌晶澳太阳能科技有限公司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义乌市义亭镇同泽路165号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东方日升(义乌)新能源有限公司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义乌市苏溪镇苏福路599号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华灿光电(浙江）有限公司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义乌市苏溪镇苏福路233号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天合光能（义乌）科技有限公司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义乌市苏溪镇龙祁路801号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义乌市安宏环保科技有限公司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义乌市义亭镇甘霖路28号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金华博莹环保科技有限公司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义乌市廿三里街道武梅二街6号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浙江红武新型墙体材料有限公司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义乌市苏溪镇东陶村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义乌市星仰环保科技有限公司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义乌市苏溪镇苏新街2号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义乌市垚鑫新型建材有限公司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义乌市苏溪镇春风大道228号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永康市佳丽金属工艺品有限公司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永康市西溪镇长龙南路358号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永康市阳金玖工贸有限公司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永康市古山镇前黄村2号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浙江鑫和工贸有限公司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永康市古山镇工业功能分区古山大道8号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永康市米道工贸有限公司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永康市古山镇柏青中路216号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永康市宁昌工贸有限公司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永康市古山镇前黄村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永康市德邻美铝业有限公司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永康市古山镇古弓路10号第二幢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永康市拓泰铝业有限公司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永康市古山镇四村工业区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永康市恒大铝业有限公司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永康市古山镇古山一期工业区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永康市世雅铝型材厂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永康市古山镇世雅工业区凤翔路2号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永康市玖东工贸有限公司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永康市古山镇工业功能分区世方中路303号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浙江古弓工贸有限公司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永康市古山三村工业区古弓路2号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永康市禄恒工贸有限公司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永康市龙山镇前珠山自然村凤山嘴6号-2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永康市天利金属制品有限公司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永康市龙山镇前珠山工业功能分区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永康市凯松铝业有限公司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永康市龙山镇四路口上村振兴路3号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永康市中裕工贸有限公司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永康市龙山镇后宅村发展路113号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永康市强卿金属有限公司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永康市龙山镇前珠山村工业区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永康市建灿金属材料加工厂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永康市龙山镇古陇村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浙江合达铝业有限公司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永康市龙山镇浙商回归园创新大道27号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永康市恒宇金属制品有限公司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永康市龙山镇桥下一村兴桥路28号后面第二幢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永康市桑禾散热器有限公司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永康市龙山镇龙川村工业生产基地</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永康市金丰铝业有限公司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永康市龙山镇桥三工业区梅溪路7号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浙江顶亚工贸有限公司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永康市龙山镇桥下一村兴桥路28号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永康市桥下铝合金银粉厂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永康市龙山镇桥一工业区珠凤路48号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永康市三星铝盘头制造厂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永康市龙山镇桥下兴桥路工业区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永康市龙山镇菁铼金属制品厂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永康市龙山镇前珠山村工业区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浙江康利金属制品有限公司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永康市唐先镇唐先东街8号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49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永康市凯马工贸有限公司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永康市象珠镇清溪工业区腾飞路18号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浙江永康弘福工贸有限公司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永康市象珠镇雅吕村积金路133号1幢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旺达集团有限公司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永康市东城街道黄棠工业区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浙江炊大王炊具有限公司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永康市经济开发区九鼎路599号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浙江中信厨具有限公司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永康市经济开发区科源路866号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浙江泰龙科技有限公司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永康市经济开发区银川东路18号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浙江顺虎铝业有限公司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永康市经济开发区华夏路115号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永康市环迪厨具有限公司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永康市经济开发区九州西路89号1-2层</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浙江伊斯特实业有限公司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永康市经济开发区金山西路75号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浙江科盟工贸有限公司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永康市经济开发区银川东路3-5号第一幢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59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永康市爱宁电器有限公司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永康市经济开发区华夏路11号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浙江乾元高新材料有限公司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永康市经济开发区天行集团有限公司内第一幢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永康市三马工贸有限公司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永康市经济开发区北湖路8号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永康市新金亚工贸有限公司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永康市经济开发区金山东路11号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正阳科技股份有限公司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永康市经济开发区长城东大道558号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浙江包氏铸造有限公司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永康市经济开发区九鼎路579号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浙江浩天铝业股份有限公司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永康市经济开发区银川东路16号第5幢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浙江国阳机电制造有限公司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永康市经济开发区学院北路178号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浙江强广剑精密铸造股份有限公司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永康市经济开发区上浦路208号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浙江春洲铝业有限公司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永康市经济开发区皇城北路899号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69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永康市雪亮铝材有限公司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永康市芝英镇工业功能分区万金大道180号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浙江永康力士达铝业有限公司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永康市芝英镇工业功能分区伟泰路33号第四幢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永康市雄安金属有限公司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永康市芝英镇柿后村新桥东路101-103号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浙江飞哲工贸有限公司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永康市城西新区金桂南路123号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永康市东方铝业有限公司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永康市西城灵石路258号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永康市奥坤工贸有限公司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永康市西城街道四方路85号第二幢一楼</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步阳集团有限公司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永康市西城街道汤店山工业区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浙江万安铝业有限公司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永康市花街镇花街西大道1058号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浙江南龙工贸有限公司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永康市江南翁埠村666号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永康市华凌机械有限公司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永康市江南街道五金大道217号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79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浙江精美铝业有限公司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永康市石柱镇下里溪站北工业区百佳乐大道5号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永康市天羽工具厂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永康市石柱镇下里溪利博尔大道11号厂房内第二幢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东阳市北江新型建材有限公司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东阳市歌山镇王村光光远村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东阳市花园新型环保材料有限公司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东阳市南马镇花园村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东阳市固德新型建材有限公司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东阳市南市街道茶园村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东阳市曙光五金制品有限公司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东阳市横店镇江滨西路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东阳伟明环保能源有限公司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东阳市城东街道泉坞坤</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浙江花园新能源有限公司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东阳市南马镇花园村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东阳市德亿达铝材有限公司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东阳市南马镇葛府村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浙江九鑫铜业有限公司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东阳市六石街道长松路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89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东阳星月安防科技有限公司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东阳市画水镇竹溪工业区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金华领航厨业有限公司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东阳市南马镇葛府村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东阳市金杯铝业有限公司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东阳市横店镇园四路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浙江横店染整有限公司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东阳市横店镇江南二路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东阳市雄亚有色金属材料厂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东阳市湖溪镇工业区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横店集团得邦照明股份有限公司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东阳市横店工业区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浙江联宜电机有限公司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东阳市横店工业区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浙江康都日用品有限公司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东阳市南马镇定午常村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兰溪市博远金属有限公司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兰溪市女埠工业园A区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浙江星驰铝业有限公司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兰江街道宝龙路16号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99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兰溪市鑫广铝业有限公司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兰溪经济开发区(兰江街道三鑫路18号)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浙江华泰铝轮制造有限公司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兰溪市永昌街道水楼工业区111号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兰溪市捷裕铝业有限公司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兰溪市赤溪街道郑麻车村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浙江天雅江涛动力有限公司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兰溪市赤溪街道工业功能区金龙路808号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浙江中普厨具制造有限公司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兰溪经济开发区江南园区康恩贝大道29号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浙江启铖汽配有限公司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兰溪市香溪镇缪源村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浦江县三阳工贸有限公司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浙江省浦江县浦南街道万田村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浦江金马五金有限公司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浙江省浦江县郑家坞镇霞浦路158号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浦江恒泰铁皮有限公司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浙江省浦江经济开发区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浦江海容金属有限公司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浙江省浦江县黄宅镇夏阳路17号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109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浙江省浦江吴氏锁业有限公司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浙江省浦江县黄宅镇兴工路35号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浦江水晶产业集聚园区开发有限公司（东部）</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浙江省浦江县郑宅镇</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浦江县鸿鑫铁皮厂</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浙江省浦江县浦东工业功能分区（浦江县洪松五金有限公司内）</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浦江县成成水晶有限公司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浙江省浦江县东部水晶集聚区25幢2楼</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浙江恒昌纺织科技有限公司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浙江省浦江县仙华街道百炼大道33号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3</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浙江丰安齿轮股份有限公司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浙江省浦江县恒昌大道618号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　</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浙江鸿鑫金属表面处理有限公司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浙江省浦江县郑宅镇彩虹路78-7号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浦江三阳环保科技有限公司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浙江省浦江县浦南街道万湖一路7号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浦江县鼎通再生资源回收有限公司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浙江省浦江县郑宅镇工业功能分区（浙江浦江梅花锁业集团有限公司内）</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浦江梦源环保科技有限公司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浙江省浦江县郑家坞镇江滨东路1-10号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119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浙江正茂不锈钢有限公司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经济开发区荷花路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浙江天航工贸有限公司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泉溪路口(深塘)</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浙江吉特工贸有限公司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仁和大道(冷水坑工业区)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武义冠荣工贸有限公司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浙江省金华市武义县泉溪镇茆角村工业功能区（浙江武义九邦实业有限公司内第二撞）</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浙江一龙铝业有限公司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武玉兰北路3号东南方向109米</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武义康诺汽车配件有限公司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王宅镇古马山工业区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浙江荣荣实业有限公司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黄龙工业区黄龙一路13号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浙江精力工具有限公司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武义县泉溪镇金岩山工业区金三路18号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浙江汉科工贸有限公司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百花山牡丹路117号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浙江伯是购厨具有限公司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武义县泉溪镇金岩山工业区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129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武义县创宏铝业有限公司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壶山街道黄龙工业区二路15号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浙江韦勒铝业有限公司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百花山工业区开发大道90号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浙江柯蓝工贸有限公司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白洋街道牛背金开发区牡丹南路179号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浙江诺维雅厨具有限公司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端村南东路1号建成学校对面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浙江洋铭工贸有限公司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五金东路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浙江铂动工贸有限公司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浙江省武义县泉溪镇金岩山工业区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浙江奥通铝轮有限公司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桐琴工业区纬六东路7号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浙江保康轮毂制造有限公司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王宅镇江南工业区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浙江金联铝业有限公司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泉溪镇泉湖工业区永武线泉溪段26号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浙江八方机械有限公司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玫瑰路6号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139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浙江尚厨家居科技股份有限公司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浙江武义经济开发区白洋工业区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浙江正点实业有限公司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浙江省武义县百花山工业区开发大道63号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武义林龙电泳有限公司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黄龙工业区黄龙三路三号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浙江浩大科技有限公司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泉溪镇泉湖工业区永武公路永金门斜对面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武义西林德机械制造有限公司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牡丹路77号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浙江武义创运工贸有限公司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桐琴镇东干工业区凤凰大道76号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浙江业盛新型材料有限公司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黄龙工业区莹乡路11号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武义县鼎通五金有限公司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凤凰山茆角工业区青云路68号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万嘉集团有限公司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武义县五金机械工业区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武义胜达链传动有限公司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白洋五路5号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149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浙江武义和平金属制品有限公司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浙江武义百花山工业区兰花路38号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浙江浙中链条有限公司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浙江省金华市武义县经济开发区百花山工业区兰花路20号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武义东风链条有限公司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黄龙二路五一塘综合市场西北侧约240米</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浙江拓为汽车部件有限公司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牡丹南路36号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浙江辰友厨具有限公司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知音路2号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武义瑞星特种钢有限公司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武江大道</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武义固威钢管有限公司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东台路45号附近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武义金闪电镀压铸有限公司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浙江省金华市武义县桐琴镇江滨工业</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浙江沪江线业有限公司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武义县百花山工业区荷花路38 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武义世纪彩油墨化学有限公司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武义县王宅镇古马山工业区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159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浙江君滔五金制造有限公司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浙江省金华市武义县白洋街道牛背金村金牛路11号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浙江银河铝业有限公司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武义县白洋街道百花山工业区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浙江盈汇多工贸有限公司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百花山工业区百合路56号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武义桑德水务有限公司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浙江省武义县泉溪镇湖沿村</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武义建佰安防科技有限公司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泉溪镇金岩山工业区横一路六号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164</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浙江隆达园艺家具制造有限公司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开发大道18号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165</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浙江旗昌工贸有限公司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泉溪镇郑寨纵二路金岩山工业区</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166</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武义昊卓工贸有限公司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武义经济开发区扶贫工业区（广川鞋厂内</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167</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浙江永童电气有限公司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水仙路20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168</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武义锦丰厨房用具有限公司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王宅小学旁</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169</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浙江宇光铝材有限公司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白洋街道百花山工业区荷花路22号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170</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浙江惠美工贸有限公司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白洋工业区法金线</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171</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武义鹏盛工贸有限公司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纵三路</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172</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浙江龙阳实业有限公司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黄龙三路11号</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173</w:t>
            </w:r>
          </w:p>
        </w:tc>
        <w:tc>
          <w:tcPr>
            <w:tcW w:w="900"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武义县</w:t>
            </w:r>
          </w:p>
        </w:tc>
        <w:tc>
          <w:tcPr>
            <w:tcW w:w="1755"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浙江乐宁工贸有限公司</w:t>
            </w:r>
          </w:p>
        </w:tc>
        <w:tc>
          <w:tcPr>
            <w:tcW w:w="2324" w:type="dxa"/>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东南工业仁和路1号（浙江仁和五金制造有限公司内第一幢）</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0</w:t>
            </w:r>
          </w:p>
        </w:tc>
        <w:tc>
          <w:tcPr>
            <w:tcW w:w="0" w:type="auto"/>
            <w:shd w:val="clear" w:color="auto" w:fill="auto"/>
            <w:vAlign w:val="center"/>
          </w:tcPr>
          <w:p>
            <w:pPr>
              <w:snapToGrid w:val="0"/>
              <w:jc w:val="center"/>
              <w:rPr>
                <w:rFonts w:hAnsi="宋体" w:cs="宋体"/>
                <w:color w:val="000000"/>
                <w:sz w:val="21"/>
                <w:szCs w:val="21"/>
                <w:highlight w:val="none"/>
              </w:rPr>
            </w:pPr>
            <w:r>
              <w:rPr>
                <w:rFonts w:hint="eastAsia" w:hAnsi="宋体" w:cs="宋体"/>
                <w:color w:val="000000"/>
                <w:sz w:val="21"/>
                <w:szCs w:val="21"/>
                <w:highlight w:val="none"/>
              </w:rPr>
              <w:t>1</w:t>
            </w:r>
          </w:p>
        </w:tc>
      </w:tr>
    </w:tbl>
    <w:p>
      <w:pPr>
        <w:numPr>
          <w:ilvl w:val="1"/>
          <w:numId w:val="0"/>
        </w:numPr>
        <w:tabs>
          <w:tab w:val="left" w:pos="1134"/>
          <w:tab w:val="left" w:pos="1670"/>
        </w:tabs>
        <w:snapToGrid w:val="0"/>
        <w:spacing w:line="500" w:lineRule="exact"/>
        <w:ind w:left="394" w:leftChars="116"/>
        <w:rPr>
          <w:rFonts w:hAnsi="宋体" w:cs="宋体"/>
          <w:b/>
          <w:bCs/>
          <w:sz w:val="21"/>
          <w:szCs w:val="21"/>
          <w:highlight w:val="none"/>
        </w:rPr>
      </w:pPr>
      <w:bookmarkStart w:id="43" w:name="_Toc110353250"/>
      <w:r>
        <w:rPr>
          <w:rFonts w:hint="eastAsia" w:hAnsi="宋体" w:cs="宋体"/>
          <w:b/>
          <w:bCs/>
          <w:sz w:val="21"/>
          <w:szCs w:val="21"/>
          <w:highlight w:val="none"/>
        </w:rPr>
        <w:t>2.已建点位清单</w:t>
      </w:r>
      <w:bookmarkEnd w:id="43"/>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6930"/>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序号</w:t>
            </w:r>
          </w:p>
        </w:tc>
        <w:tc>
          <w:tcPr>
            <w:tcW w:w="3642"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摄像头名称</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枪球机类型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浙江正道环保科技有限公司1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浙江正道环保科技有限公司2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浙江正道环保科技有限公司3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兰溪市新力五金工具有限公司1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兰溪市新力五金工具有限公司2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兰溪市新力五金工具有限公司3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兰溪市三水镀业有限公司1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兰溪市三水镀业有限公司2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兰溪市三水镀业有限公司3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兰溪市鑫力五金有限公司1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兰溪市鑫力五金有限公司2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兰溪市鑫力五金有限公司3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浙江红狮环保科技有限公司1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浙江红狮环保科技有限公司2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浙江红狮环保科技有限公司3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兰溪旺能环保能源有限公司1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兰溪旺能环保能源有限公司2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兰溪旺能环保能源有限公司3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兰溪市环球五金厂1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兰溪市环球五金厂2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兰溪市环球五金厂3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义乌市童店五金电镀公司1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义乌市童店五金电镀公司2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义乌市童店五金电镀公司3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义乌市水处理有限责任公司稠江运营部1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义乌市水处理有限责任公司稠江运营部2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义乌市水处理有限责任公司稠江运营部3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浙江普洛康裕生物制药有限公司1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浙江普洛康裕生物制药有限公司2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浙江普洛康裕生物制药有限公司3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浙江康峰化工有限公司1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浙江康峰化工有限公司2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浙江康峰化工有限公司3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东阳市易源环保科技有限公司1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东阳市易源环保科技有限公司2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东阳市易源环保科技有限公司3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浙江兴达钢带有限公司1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浙江兴达钢带有限公司2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浙江兴达钢带有限公司3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金华市钢海集团有限公司1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金华市钢海集团有限公司2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金华市钢海集团有限公司2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浙江普若恩环保技术有限公司1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浙江普若恩环保技术有限公司2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浙江普若恩环保技术有限公司3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浦江三阳环保科技再生中心2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浦江三阳环保科技再生中心3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浦江三阳环保科技再生中心1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兰溪协鑫环保热电有限公司1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兰溪协鑫环保热电有限公司2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兰溪协鑫环保热电有限公司3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浙江杰斯特电器有限公司1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浙江杰斯特电器有限公司2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浙江杰斯特电器有限公司3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浙江浙能兰溪发电有限责任公司1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浙江浙能兰溪发电有限责任公司2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浙江浙能兰溪发电有限责任公司3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浙江王力门业有限公司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浙江王力门业有限公司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浙江王力门业有限公司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浙江正茂不锈钢有限公司1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浙江正茂不锈钢有限公司1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浙江正茂不锈钢有限公司1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浙江红泰工贸有限公司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浙江红泰工贸有限公司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浙江红泰工贸有限公司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浙江海森药业有限公司1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浙江海森药业有限公司3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浙江海森药业有限公司2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浙江东峰制冷配件有限公司1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浙江东峰制冷配件有限公司2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浙江东峰制冷配件有限公司3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浙江绿宇制冷配件有限公司1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浙江绿宇制冷配件有限公司2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浙江绿宇制冷配件有限公司3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79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浙江佰耐钢带有限公司1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浙江佰耐钢带有限公司3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浙江佰耐钢带有限公司2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东阳市东方新秀针织有限公司1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东阳市东方新秀针织有限公司3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东阳市东方新秀针织有限公司2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浙江省东阳市江南铝材厂1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浙江省东阳市江南铝材厂2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浙江省东阳市江南铝材厂3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横店集团东磁股份有限公司1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89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横店集团东磁股份有限公司2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横店集团东磁股份有限公司3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浙江野风药业股份有限公司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浙江野风药业股份有限公司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浙江野风药业股份有限公司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浙江新纳材料科有限公司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浙江新纳材料科有限公司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浙江新纳材料科有限公司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步阳集团有限公司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步阳集团有限公司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99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步阳集团有限公司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新多集团有限公司1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新多集团有限公司1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新多集团有限公司1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浙江星月门业有限公司1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浙江星月门业有限公司2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浙江星月门业有限公司3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浙江今泰汽车零部件制造有限公司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浙江今泰汽车零部件制造有限公司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浙江今泰汽车零部件制造有限公司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109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浙江耐司康药业有限公司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浙江耐司康药业有限公司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浙江耐司康药业有限公司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浙江万福染整有限公司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浙江万福染整有限公司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浙江万福染整有限公司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金华宁能热电有限公司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金华宁能热电有限公司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金华宁能热电有限公司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义乌市佛堂建炎拉丝厂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义乌市佛堂建炎拉丝厂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义乌市佛堂建炎拉丝厂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义乌市水处理有限责任公司后宅运营部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义乌市水处理有限责任公司后宅运营部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义乌市水处理有限责任公司后宅运营部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义乌市水处理有限公司中心运营部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义乌市水处理有限公司中心运营部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义乌市水处理有限公司中心运营部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义乌市景羽工艺品厂1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义乌市景羽工艺品厂1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义乌市景羽工艺品厂1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义乌市水处理有限责任公司江东运营部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义乌市水处理有限责任公司江东运营部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义乌市水处理有限责任公司江东运营部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杭州华东医药集团浙江华义制药有限公司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杭州华东医药集团浙江华义制药有限公司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杭州华东医药集团浙江华义制药有限公司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义乌市水处理有限责任公司义亭运营部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义乌市水处理有限责任公司义亭运营部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义乌市水处理有限责任公司义亭运营部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佛堂盈晟有限公司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佛堂盈晟有限公司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佛堂盈晟有限公司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浦江县鼎通再生资源回收有限公司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浦江县鼎通再生资源回收有限公司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浦江县鼎通再生资源回收有限公司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浦江县三江龙金属表面处理厂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浦江县三江龙金属表面处理厂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浦江县三江龙金属表面处理厂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武义县中成污水处理有限公司1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武义县中成污水处理有限公司1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武义县中成污水处理有限公司1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华灿光电（浙江）有限公司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华灿光电（浙江）有限公司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华灿光电（浙江）有限公司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浙江锋锐发动机有限公司1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浙江锋锐发动机有限公司2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浙江锋锐发动机有限公司3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东阳普洛家园有限公司1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东阳普洛家园有限公司2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东阳普洛家园有限公司3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浙江超洁工贸有限公司1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浙江超洁工贸有限公司2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浙江超洁工贸有限公司3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金华市德朗污水处理有限公司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金华国诚环保科技有限公司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金华市金东区振华废油收购站</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金华市恒辉热镀锌有限公司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金华市升阳资源再利用有限公司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金华威陵制管有限公司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金华市金东区振华废油收购站</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金华市升阳资源再利用有限公司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武义神溶燕美环保科技有限公司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武义神溶燕美环保科技有限公司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浙江正茂不锈钢有限公司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浙江武义中茂工艺品制造有限公司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浙江王力门业有限公司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179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武义县光明建材有限公司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武义县光明建材有限公司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浙江超洁工贸有限公司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武义县三和工贸有限公司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金华宁能热电有限公司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义乌市森美化工原料有限公司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义乌市森美化工原料有限公司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义乌市佛堂建炎拉丝厂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义乌市景羽工艺品厂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浙江盈晟环保科技有限公司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189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浙江盈晟环保科技有限公司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义乌市德创新再生资源有限公司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杭州华东医药集团浙江华义制药有限公司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义乌市德创新再生资源有限公司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义乌市水处理有限责任公司稠江运营部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义乌市水处理有限责任公司中心运营部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义乌市水处理有限责任公司后宅运营部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浙江新光饰品股份有限公司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义乌市水处理有限责任公司大陈运营部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义乌市福民铝制品有限公司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199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义乌市童店五金电镀有限公司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义乌市靓迪饰品厂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浪莎针织有限公司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义乌全通再生资源利用有限公司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义乌全通再生资源利用有限公司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义乌厚昌实业有限公司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浙江红武新型墙体材料有限公司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义乌智鼎再生资源利用有限公司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义乌智鼎再生资源利用有限公司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浙江尚为环保科技有限公司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209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浙江尚为环保科技有限公司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义乌市义华五金电镀有限公司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义乌市伊琳饰品有限公司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义乌市华大压铸有限公司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浙江金哥针织有限公司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浙江真爱毯业科技有限公司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义乌佳兆环保科技有限公司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义乌佳兆环保科技有限公司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浙江裕和再生资源回收有限公司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浙江浙能兰溪发电有限责任公司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浙江正道环保科技有限公司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浙江正道环保科技有限公司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浙江淘力西新型建材科技有限公司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兰溪市鑫华制革有限责任公司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浙江淘力西新型建材科技有限公司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浙江红狮环保科技有限公司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兰溪协鑫环保热电有限公司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兰溪旺能环保能源有限公司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浙江凤登化工股份有限公司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浙江凤登化工股份有限公司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金华市洁创环保科技有限公司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兰溪市耀星金属表面装饰厂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金华市洁创环保科技有限公司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浙江锋锐发动机有限公司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浙江罗奇泰克电子有限公司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磐安县城市污水处理有限公司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磐安县城市污水处理有限公司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磐安常青环保科技有限公司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浦江县三江龙金属表面处理厂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浙江硕达工贸有限公司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浙江三美化工股份有限公司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武义县新禹水处理有限公司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浙江野风药业股份有限公司浙江野风药业股份有限公司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浦江恒泰铁皮有限公司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浙江普洛康裕生物制药有限公司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东阳源斌环保服务有限公司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浦江县锶颖再生资源有限公司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浦江县锶颖再生资源有限公司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浦江县城乡环保有限公司（三峰）</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浦江县城乡环保有限公司（三峰）</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浦江县三阳工贸有限公司浦江三阳环保科技再生中心</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浙江浦江江合新型建筑材料有限公司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浙江浦江江合新型建筑材料有限公司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浦江县三阳工贸有限公司浦江三阳环保科技再生中心</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浦江梦源环保科技有限公司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浦江梦源环保科技有限公司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浙江物产环能浦江热电有限公司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浦江县三阳工贸有限公司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武义拓展工艺制品有限公司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武义县中成污水处理有限公司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武义县正达金属丝制品有限公司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浙江创业钢带有限公司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浙江红泰工贸有限公司（宝川）</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武义伟明环保能源有限公司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武义伟明环保能源有限公司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浙江万协工贸有限公司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武义县碧水环保科技有限公司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浙江育隆环保科技有限公司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浙江宝鑫薄板有限公司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浙江育隆环保科技有限公司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武义县王宅镇要巨红砖厂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武义县王宅镇要巨红砖厂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浙江绿宇制冷配件有限公司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浙江普洛家园药业有限公司（普洛医药科技）</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浙江普洛得邦制药有限公司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浙江新纳材料科有限公司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东阳市达斐工贸有限公司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东阳市大象五金制品有限公司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浙江普洛康裕制药有限公司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浙江省东阳市江南铝材厂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279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浙江花园生物高科股份有限公司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东阳市鑫泽金属制品有限公司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浙江花园铜业有限公司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东阳市美臣工贸有限公司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浙江康峰化工有限公司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浙江佰耐钢带有限公司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东阳市易源环保科技有限公司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浙江金华科葆科技有限公司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金华市竹马废油加工厂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金华市金牛砖瓦厂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289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莱逸园环保科技大门口</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威陵</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金华永和氟化工有限公司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浙江建欣环保科技有限公司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金华华鑫涂层科技有限公司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金华市豪迪染整有限公司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浙江万福染整有限公司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积能环保科技</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积能环保科技</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299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浙江金泰莱环保有限公司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浙江合力海科新材料股份有限公司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浙江合力海科新材料股份有限公司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浙江金泰莱环保有限公司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兰溪市新光电镀厂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兰溪市三水镀业有限公司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兰溪市新星工艺品有限公司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兰溪市新力五金工具有限公司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兰溪市兰创欣环境科技有限公司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兰溪巨江环保科技服务有限公司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309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兰溪巨江环保科技服务有限公司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兰溪市兰创欣环境科技有限公司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浙江杰斯特电器有限公司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兰溪市和顺废润滑油回收有限公司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兰溪市和顺废润滑油回收有限公司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兰溪市捷达工具厂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兰溪市丰源环保建材有限公司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兰溪市丰源环保建材有限公司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兰溪润达环保科技有限公司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兰溪润达环保科技有限公司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兰溪轮峰车料有限公司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兰溪市环球五金厂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兰溪市鑫力五金有限公司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兰溪自立环保科技有限公司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义乌市水处理有限责任公司佛堂运营部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义乌市水处理有限责任公司苏溪运营部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义乌市水处理有限责任公司江东运营部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义乌市水处理有限责任公司江东运营部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横店集团东磁股份有限公司（太阳能）</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东阳四合水处理有限公司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浙江横店热电有限公司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东阳市横店污水处理厂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浙江爱旭太阳能科技有限公司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华灿光电（浙江）有限公司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义乌绿金环保科技有限公司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义乌绿金环保科技有限公司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浙江义乌市金墙科技有限公司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义乌市义南纸业有限公司（华川）</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东阳市环球钢带有限公司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浙江海森药业有限公司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东阳市东方新秀针织有限公司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东阳市瑞恒再生资源有限公司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东阳市瑞恒再生资源有限公司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浙江东峰制冷配件有限公司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浙江浪人工艺品股份有限公司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金华市明宇金属制品有限公司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金华市竹马废油加工厂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金华市金牛砖瓦厂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浙江今泰汽车零部件制造有限公司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浙江巴奥米特医药产品有限公司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浙江金华康恩贝生物制药有限公司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浙江大昌交通材料有限公司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金华市易宝环保科技有限公司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金华市上窑新型墙材有限公司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金华市莱逸园环保科技开发有限公司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浙江耐司康药业有限公司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浦江恒捷环保有限公司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浦江恒捷环保有限公司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浦江恒捷环保有限公司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浙江华川实业集团有限公司3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浙江华川实业集团有限公司2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浙江华川实业集团有限公司1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东阳市环球钢带有限公司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东阳市环球钢带有限公司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东阳市环球钢带有限公司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义乌市水处理有限责任公司佛堂运营部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义乌市水处理有限责任公司佛堂运营部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义乌市水处理有限责任公司佛堂运营部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金华市水处理有限公司秋滨污水处理厂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金华市水处理有限公司秋滨污水处理厂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金华市水处理有限公司秋滨污水处理厂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武义拓展工艺制品有限公司1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武义拓展工艺制品有限公司1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武义拓展工艺制品有限公司1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磐安县城市污水处理有限公司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磐安县城市污水处理有限公司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磐安县城市污水处理有限公司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武义县碧水环保科技有限公司1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武义县碧水环保科技有限公司1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379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武义县碧水环保科技有限公司1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浪莎针织有限公司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浪莎针织有限公司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浪莎针织有限公司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义乌智鼎再生资源利用有限公司（搬迁）</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义乌智鼎再生资源利用有限公司（搬迁）</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义乌智鼎再生资源利用有限公司（搬迁）</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义乌厚昌实业有限公司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义乌厚昌实业有限公司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义乌厚昌实业有限公司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389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浙江真爱毯业科技有限公司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浙江真爱毯业科技有限公司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浙江真爱毯业科技有限公司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浙江金哥针织有限公司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浙江金哥针织有限公司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浙江金哥针织有限公司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义乌市水处理有限责任公司苏溪运营部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义乌市水处理有限责任公司苏溪运营部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义乌市水处理有限责任公司苏溪运营部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义乌市水处理有限责任公司大陈运营部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399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义乌市水处理有限责任公司大陈运营部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义乌市水处理有限责任公司大陈运营部</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浙江爱旭太阳能科技有限公司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浙江爱旭太阳能科技有限公司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浙江爱旭太阳能科技有限公司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义乌市靓迪饰品厂1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义乌市靓迪饰品厂1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义乌市靓迪饰品厂1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义乌市华大压铸有限公司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义乌市华大压铸有限公司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409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义乌市华大压铸有限公司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浙江巴奥米特医药产品有限公司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浙江巴奥米特医药产品有限公司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浙江巴奥米特医药产品有限公司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浙江大昌交通材料有限公司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浙江大昌交通材料有限公司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浙江大昌交通材料有限公司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金华市德朗污水处理有限公司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金华市德朗污水处理有限公司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金华市德朗污水处理有限公司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群升集团有限公司1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群升集团有限公司1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群升集团有限公司1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浙江哈尔斯真空器皿股份有限公司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浙江哈尔斯真空器皿股份有限公司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浙江哈尔斯真空器皿股份有限公司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东阳市污水处理有限公司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东阳市横店污水处理厂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东阳市横店污水处理厂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东阳市横店污水处理厂</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浙江花园生物高科股份有限公司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浙江花园生物高科股份有限公司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浙江花园生物高科股份有限公司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浙江横店热电有限公司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浙江横店热电有限公司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浙江横店热电有限公司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东阳四合水处理有限公司3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东阳四合水处理有限公司2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东阳四合水处理有限公司1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浙江花园铜业有限公司3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浙江花园铜业有限公司2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浙江花园铜业有限公司1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东阳市大象五金制品有限公司3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东阳市大象五金制品有限公司2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东阳市大象五金制品有限公司1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浙江普洛得邦制药有限公司3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浙江普洛得邦制药有限公司2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浙江普洛得邦制药有限公司1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东阳市达斐工贸有限公司2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东阳市达斐工贸有限公司3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东阳市达斐工贸有限公司1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浙江金润工贸有限公司1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浙江金润工贸有限公司1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浙江金润工贸有限公司1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武义县三和工贸有限公司1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武义县三和工贸有限公司1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武义县三和工贸有限公司1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武义县正达金属丝制品有限公司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武义县正达金属丝制品有限公司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武义县正达金属丝制品有限公司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浙江武义中茂工艺品制造有限公司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浙江武义中茂工艺品制造有限公司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浙江武义中茂工艺品制造有限公司</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女埠街道女埠工业园A区</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女埠街道女埠工业园A区</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女埠街道女埠工业园A区</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武义县新禹水处理有限公司点位2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武义县新禹水处理有限公司点位3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武义县新禹水处理有限公司点位1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东阳市瑞恒再生资源有限公司3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东阳市瑞恒再生资源有限公司2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东阳市瑞恒再生资源有限公司1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兰溪市耀星金属表面装饰厂3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兰溪市耀星金属表面装饰厂2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兰溪市耀星金属表面装饰厂1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浙江新光饰品股份有限公司3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浙江新光饰品股份有限公司2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浙江新光饰品股份有限公司1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479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兰溪润达环保科技有限公司3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兰溪润达环保科技有限公司2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兰溪润达环保科技有限公司1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浙江淘力西新型建材科技有限公司3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浙江淘力西新型建材科技有限公司2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浙江淘力西新型建材科技有限公司1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浙江罗奇泰克有限公司3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浙江罗奇泰克有限公司2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浙江罗奇泰克有限公司1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浙江合力海科新材料股份有限公司3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489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浙江合力海科新材料股份有限公司2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浙江合力海科新材料股份有限公司1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兰溪市丰源环保建材有限公司3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兰溪市丰源环保建材有限公司2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兰溪市丰源环保建材有限公司1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浙江天晨胶业股份有限公司3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浙江天晨胶业股份有限公司2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浙江天晨胶业股份有限公司1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浦江梦源环保科技有限公司3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浦江梦源环保科技有限公司2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499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浦江梦源环保科技有限公司1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浦江县亿顺电导体有限公司3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浦江县亿顺电导体有限公司2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浦江县亿顺电导体有限公司1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武义康达五金制造有限公司3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武义康达五金制造有限公司2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武义康达五金制造有限公司1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浙江巍华化工有限公司3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浙江巍华化工有限公司2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浙江巍华化工有限公司1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509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永康市伟明环保能源有限公司3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永康市伟明环保能源有限公司2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永康市伟明环保能源有限公司1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浙江胜利工贸有限公司3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浙江胜利工贸有限公司2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浙江胜利工贸有限公司1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义乌市福民铝制品有限公司3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义乌市福民铝制品有限公司2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义乌市福民铝制品有限公司1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浙江展宏表面处理科技有限公司3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519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浙江展宏表面处理科技有限公司2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浙江展宏表面处理科技有限公司1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浙江宝鑫薄板有限公司3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浙江宝鑫薄板有限公司2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浙江宝鑫薄板有限公司1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义乌市伊琳饰品有限公司3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义乌市伊琳饰品有限公司2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义乌市伊琳饰品有限公司1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浙江三美化工股份有限公司3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浙江三美化工股份有限公司2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529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浙江三美化工股份有限公司1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金华市浙江创业钢带有限公司3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金华市浙江创业钢带有限公司2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金华市浙江创业钢带有限公司1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浙江万协工贸有限公司3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浙江万协工贸有限公司2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浙江万协工贸有限公司1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义乌佳兆环保科技有限公司3（停产）</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义乌佳兆环保科技有限公司2（停产）</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义乌佳兆环保科技有限公司1（停产）</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539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浙江裕和再生资源回收有限公司3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浙江裕和再生资源回收有限公司2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浙江裕和再生资源回收有限公司1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义乌市义华五金电镀有限公司3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义乌市义华五金电镀有限公司2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义乌市义华五金电镀有限公司1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义乌市森美化工原料有限公司3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义乌市森美化工原料有限公司2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义乌市森美化工原料有限公司1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兰溪轮峰车料有限公司3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549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兰溪轮峰车料有限公司2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兰溪轮峰车料有限公司1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兰溪金龙装饰工艺品有限公司3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兰溪金龙装饰工艺品有限公司2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兰溪金龙装饰工艺品有限公司1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兰溪市新光电镀厂3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兰溪市新光电镀厂2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兰溪市新光电镀厂1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兰溪市新星工艺品有限公司3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兰溪市新星工艺品有限公司2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559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兰溪市新星工艺品有限公司1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兰溪市和顺废润滑油回收有限公司3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兰溪市和顺废润滑油回收有限公司2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兰溪市和顺废润滑油回收有限公司1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浙江丰登化工股份有限公司3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浙江丰登化工股份有限公司2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浙江丰登化工股份有限公司1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浙江新生源环境科技有限公司3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浙江新生源环境科技有限公司2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568</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浙江新生源环境科技有限公司1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569</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兰溪市捷达工具厂3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570</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兰溪市捷达工具厂2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571</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兰溪市捷达工具厂1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572</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浙江金泰莱环保科技有限公司3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573</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浙江金泰莱环保科技有限公司2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574</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浙江金泰莱环保科技有限公司1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575</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兰溪自立铜业有限公司3</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576</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兰溪自立铜业有限公司2</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49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577</w:t>
            </w:r>
          </w:p>
        </w:tc>
        <w:tc>
          <w:tcPr>
            <w:tcW w:w="3642" w:type="pct"/>
            <w:shd w:val="clear" w:color="auto" w:fill="auto"/>
            <w:noWrap/>
            <w:vAlign w:val="center"/>
          </w:tcPr>
          <w:p>
            <w:pPr>
              <w:widowControl/>
              <w:rPr>
                <w:rFonts w:hAnsi="宋体" w:cs="宋体"/>
                <w:color w:val="000000"/>
                <w:sz w:val="22"/>
                <w:highlight w:val="none"/>
              </w:rPr>
            </w:pPr>
            <w:r>
              <w:rPr>
                <w:rFonts w:hint="eastAsia" w:hAnsi="宋体" w:cs="宋体"/>
                <w:color w:val="000000"/>
                <w:sz w:val="22"/>
                <w:highlight w:val="none"/>
              </w:rPr>
              <w:t>兰溪自立铜业有限公司1</w:t>
            </w:r>
          </w:p>
        </w:tc>
        <w:tc>
          <w:tcPr>
            <w:tcW w:w="864" w:type="pct"/>
            <w:shd w:val="clear" w:color="auto" w:fill="auto"/>
            <w:noWrap/>
            <w:vAlign w:val="center"/>
          </w:tcPr>
          <w:p>
            <w:pPr>
              <w:widowControl/>
              <w:jc w:val="center"/>
              <w:rPr>
                <w:rFonts w:hAnsi="宋体" w:cs="宋体"/>
                <w:color w:val="000000"/>
                <w:sz w:val="22"/>
                <w:highlight w:val="none"/>
              </w:rPr>
            </w:pPr>
            <w:r>
              <w:rPr>
                <w:rFonts w:hint="eastAsia" w:hAnsi="宋体" w:cs="宋体"/>
                <w:color w:val="000000"/>
                <w:sz w:val="22"/>
                <w:highlight w:val="none"/>
              </w:rPr>
              <w:t>普通枪机</w:t>
            </w:r>
          </w:p>
        </w:tc>
      </w:tr>
    </w:tbl>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十、服务交接要求</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1.投标人中标后应在</w:t>
      </w:r>
      <w:r>
        <w:rPr>
          <w:rFonts w:hint="eastAsia" w:hAnsi="宋体" w:cs="宋体"/>
          <w:sz w:val="21"/>
          <w:szCs w:val="21"/>
          <w:highlight w:val="none"/>
          <w:lang w:eastAsia="zh-CN"/>
        </w:rPr>
        <w:t>采购人</w:t>
      </w:r>
      <w:r>
        <w:rPr>
          <w:rFonts w:hint="eastAsia" w:hAnsi="宋体" w:cs="宋体"/>
          <w:sz w:val="21"/>
          <w:szCs w:val="21"/>
          <w:highlight w:val="none"/>
        </w:rPr>
        <w:t>要求的时间内做好与前任服务商的工作交接，以使</w:t>
      </w:r>
      <w:r>
        <w:rPr>
          <w:rFonts w:hint="eastAsia" w:hAnsi="宋体" w:cs="宋体"/>
          <w:sz w:val="21"/>
          <w:szCs w:val="21"/>
          <w:highlight w:val="none"/>
          <w:lang w:eastAsia="zh-CN"/>
        </w:rPr>
        <w:t>采购人</w:t>
      </w:r>
      <w:r>
        <w:rPr>
          <w:rFonts w:hint="eastAsia" w:hAnsi="宋体" w:cs="宋体"/>
          <w:sz w:val="21"/>
          <w:szCs w:val="21"/>
          <w:highlight w:val="none"/>
        </w:rPr>
        <w:t>的固废、危险废物监管工作不致中断。这些工作包括但不限于：</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（1）在</w:t>
      </w:r>
      <w:r>
        <w:rPr>
          <w:rFonts w:hint="eastAsia" w:hAnsi="宋体" w:cs="宋体"/>
          <w:sz w:val="21"/>
          <w:szCs w:val="21"/>
          <w:highlight w:val="none"/>
          <w:lang w:eastAsia="zh-CN"/>
        </w:rPr>
        <w:t>采购人</w:t>
      </w:r>
      <w:r>
        <w:rPr>
          <w:rFonts w:hint="eastAsia" w:hAnsi="宋体" w:cs="宋体"/>
          <w:sz w:val="21"/>
          <w:szCs w:val="21"/>
          <w:highlight w:val="none"/>
        </w:rPr>
        <w:t>要求的时间内完成1</w:t>
      </w:r>
      <w:r>
        <w:rPr>
          <w:rFonts w:hAnsi="宋体" w:cs="宋体"/>
          <w:sz w:val="21"/>
          <w:szCs w:val="21"/>
          <w:highlight w:val="none"/>
        </w:rPr>
        <w:t>73家企业</w:t>
      </w:r>
      <w:r>
        <w:rPr>
          <w:rFonts w:hint="eastAsia" w:hAnsi="宋体" w:cs="宋体"/>
          <w:sz w:val="21"/>
          <w:szCs w:val="21"/>
          <w:highlight w:val="none"/>
        </w:rPr>
        <w:t>新建点位</w:t>
      </w:r>
      <w:r>
        <w:rPr>
          <w:rFonts w:hint="eastAsia" w:hAnsi="宋体" w:cs="宋体"/>
          <w:color w:val="000000"/>
          <w:sz w:val="21"/>
          <w:szCs w:val="21"/>
          <w:highlight w:val="none"/>
        </w:rPr>
        <w:t>接入</w:t>
      </w:r>
      <w:r>
        <w:rPr>
          <w:rFonts w:hint="eastAsia" w:hAnsi="宋体" w:cs="宋体"/>
          <w:sz w:val="21"/>
          <w:szCs w:val="21"/>
          <w:highlight w:val="none"/>
        </w:rPr>
        <w:t>固废危险废物视频监控平台系统、</w:t>
      </w:r>
      <w:r>
        <w:rPr>
          <w:rFonts w:hAnsi="宋体" w:cs="宋体"/>
          <w:sz w:val="21"/>
          <w:szCs w:val="21"/>
          <w:highlight w:val="none"/>
        </w:rPr>
        <w:t>355</w:t>
      </w:r>
      <w:r>
        <w:rPr>
          <w:rFonts w:hint="eastAsia" w:hAnsi="宋体" w:cs="宋体"/>
          <w:sz w:val="21"/>
          <w:szCs w:val="21"/>
          <w:highlight w:val="none"/>
        </w:rPr>
        <w:t>家企业的光纤电路铺设、“中心存储服务”的设备部署、安装调试和系统集成（含机房集成）等基础工作，确保固废、危险废物视频监控平台系统的正常运行。其中，“中心存储服务”的设备质保期为3年，自“中心存储服务”的设备部署、安装调试和系统集成通过采购单位验收之日起。</w:t>
      </w:r>
    </w:p>
    <w:p>
      <w:pPr>
        <w:numPr>
          <w:ilvl w:val="0"/>
          <w:numId w:val="3"/>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在</w:t>
      </w:r>
      <w:r>
        <w:rPr>
          <w:rFonts w:hint="eastAsia" w:hAnsi="宋体" w:cs="宋体"/>
          <w:sz w:val="21"/>
          <w:szCs w:val="21"/>
          <w:highlight w:val="none"/>
          <w:lang w:eastAsia="zh-CN"/>
        </w:rPr>
        <w:t>采购人</w:t>
      </w:r>
      <w:r>
        <w:rPr>
          <w:rFonts w:hint="eastAsia" w:hAnsi="宋体" w:cs="宋体"/>
          <w:sz w:val="21"/>
          <w:szCs w:val="21"/>
          <w:highlight w:val="none"/>
        </w:rPr>
        <w:t>要求的时间内向招标单位派出符合要求的驻点服务人员，并服从</w:t>
      </w:r>
      <w:r>
        <w:rPr>
          <w:rFonts w:hint="eastAsia" w:hAnsi="宋体" w:cs="宋体"/>
          <w:sz w:val="21"/>
          <w:szCs w:val="21"/>
          <w:highlight w:val="none"/>
          <w:lang w:val="en-US" w:eastAsia="zh-CN"/>
        </w:rPr>
        <w:t>采购</w:t>
      </w:r>
      <w:r>
        <w:rPr>
          <w:rFonts w:hint="eastAsia" w:hAnsi="宋体" w:cs="宋体"/>
          <w:sz w:val="21"/>
          <w:szCs w:val="21"/>
          <w:highlight w:val="none"/>
        </w:rPr>
        <w:t>单位的管理。</w:t>
      </w:r>
    </w:p>
    <w:p>
      <w:pPr>
        <w:numPr>
          <w:ilvl w:val="0"/>
          <w:numId w:val="3"/>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与前任服务商做好工作交接和档案交接。</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2.服务终止后，中标人应配合</w:t>
      </w:r>
      <w:r>
        <w:rPr>
          <w:rFonts w:hint="eastAsia" w:hAnsi="宋体" w:cs="宋体"/>
          <w:sz w:val="21"/>
          <w:szCs w:val="21"/>
          <w:highlight w:val="none"/>
          <w:lang w:eastAsia="zh-CN"/>
        </w:rPr>
        <w:t>采购人</w:t>
      </w:r>
      <w:r>
        <w:rPr>
          <w:rFonts w:hint="eastAsia" w:hAnsi="宋体" w:cs="宋体"/>
          <w:sz w:val="21"/>
          <w:szCs w:val="21"/>
          <w:highlight w:val="none"/>
        </w:rPr>
        <w:t>做好与后任服务商的工作交接和档案交接，以使</w:t>
      </w:r>
      <w:r>
        <w:rPr>
          <w:rFonts w:hint="eastAsia" w:hAnsi="宋体" w:cs="宋体"/>
          <w:sz w:val="21"/>
          <w:szCs w:val="21"/>
          <w:highlight w:val="none"/>
          <w:lang w:eastAsia="zh-CN"/>
        </w:rPr>
        <w:t>采购人</w:t>
      </w:r>
      <w:r>
        <w:rPr>
          <w:rFonts w:hint="eastAsia" w:hAnsi="宋体" w:cs="宋体"/>
          <w:sz w:val="21"/>
          <w:szCs w:val="21"/>
          <w:highlight w:val="none"/>
        </w:rPr>
        <w:t>的固废、危险废物监管工作不致中断。同时，继续做好质保期内的</w:t>
      </w:r>
      <w:r>
        <w:rPr>
          <w:rFonts w:hint="eastAsia" w:hAnsi="宋体" w:cs="宋体"/>
          <w:sz w:val="21"/>
          <w:szCs w:val="21"/>
          <w:highlight w:val="none"/>
          <w:lang w:eastAsia="zh-CN"/>
        </w:rPr>
        <w:t>采购人</w:t>
      </w:r>
      <w:r>
        <w:rPr>
          <w:rFonts w:hint="eastAsia" w:hAnsi="宋体" w:cs="宋体"/>
          <w:sz w:val="21"/>
          <w:szCs w:val="21"/>
          <w:highlight w:val="none"/>
        </w:rPr>
        <w:t>所属“中心存储服务”设备的质保工作。</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十一、其他要求</w:t>
      </w:r>
    </w:p>
    <w:p>
      <w:pPr>
        <w:numPr>
          <w:ilvl w:val="255"/>
          <w:numId w:val="0"/>
        </w:numPr>
        <w:snapToGrid w:val="0"/>
        <w:spacing w:line="500" w:lineRule="exact"/>
        <w:ind w:firstLine="420" w:firstLineChars="200"/>
        <w:rPr>
          <w:rStyle w:val="66"/>
          <w:rFonts w:ascii="宋体" w:hAnsi="宋体" w:cs="宋体"/>
          <w:szCs w:val="21"/>
          <w:highlight w:val="none"/>
        </w:rPr>
      </w:pPr>
      <w:r>
        <w:rPr>
          <w:rStyle w:val="66"/>
          <w:rFonts w:hint="eastAsia" w:ascii="宋体" w:hAnsi="宋体" w:cs="宋体"/>
          <w:highlight w:val="none"/>
        </w:rPr>
        <w:t>1.</w:t>
      </w:r>
      <w:r>
        <w:rPr>
          <w:rStyle w:val="66"/>
          <w:rFonts w:ascii="宋体" w:hAnsi="宋体" w:cs="宋体"/>
          <w:highlight w:val="none"/>
        </w:rPr>
        <w:t>“中</w:t>
      </w:r>
      <w:r>
        <w:rPr>
          <w:rStyle w:val="66"/>
          <w:highlight w:val="none"/>
        </w:rPr>
        <w:t>心存储服务”设备</w:t>
      </w:r>
      <w:r>
        <w:rPr>
          <w:rStyle w:val="66"/>
          <w:rFonts w:hint="eastAsia" w:hAnsi="宋体" w:cs="宋体"/>
          <w:szCs w:val="21"/>
          <w:highlight w:val="none"/>
        </w:rPr>
        <w:t>质保期内的服务要求</w:t>
      </w:r>
    </w:p>
    <w:p>
      <w:pPr>
        <w:numPr>
          <w:ilvl w:val="0"/>
          <w:numId w:val="4"/>
        </w:numPr>
        <w:snapToGrid w:val="0"/>
        <w:spacing w:line="500" w:lineRule="exact"/>
        <w:ind w:firstLine="420" w:firstLineChars="200"/>
        <w:rPr>
          <w:rFonts w:hAnsi="宋体" w:cs="宋体"/>
          <w:sz w:val="21"/>
          <w:szCs w:val="21"/>
          <w:highlight w:val="none"/>
        </w:rPr>
      </w:pPr>
      <w:r>
        <w:rPr>
          <w:rStyle w:val="66"/>
          <w:rFonts w:ascii="宋体" w:hAnsi="宋体" w:cs="宋体"/>
          <w:highlight w:val="none"/>
        </w:rPr>
        <w:t>“中</w:t>
      </w:r>
      <w:r>
        <w:rPr>
          <w:rStyle w:val="66"/>
          <w:highlight w:val="none"/>
        </w:rPr>
        <w:t>心存储服务”设备</w:t>
      </w:r>
      <w:r>
        <w:rPr>
          <w:rStyle w:val="66"/>
          <w:rFonts w:hint="eastAsia" w:hAnsi="宋体" w:cs="宋体"/>
          <w:szCs w:val="21"/>
          <w:highlight w:val="none"/>
        </w:rPr>
        <w:t>质保期为3年。</w:t>
      </w:r>
      <w:r>
        <w:rPr>
          <w:rStyle w:val="66"/>
          <w:rFonts w:hint="eastAsia" w:ascii="宋体" w:hAnsi="宋体" w:cs="宋体"/>
          <w:szCs w:val="21"/>
          <w:highlight w:val="none"/>
        </w:rPr>
        <w:t>质保期内因设备本身缺陷造成各种故障应由</w:t>
      </w:r>
      <w:r>
        <w:rPr>
          <w:rStyle w:val="66"/>
          <w:rFonts w:hint="eastAsia" w:hAnsi="宋体" w:cs="宋体"/>
          <w:szCs w:val="21"/>
          <w:highlight w:val="none"/>
        </w:rPr>
        <w:t>中</w:t>
      </w:r>
      <w:r>
        <w:rPr>
          <w:rStyle w:val="66"/>
          <w:rFonts w:hint="eastAsia" w:ascii="宋体" w:hAnsi="宋体" w:cs="宋体"/>
          <w:szCs w:val="21"/>
          <w:highlight w:val="none"/>
        </w:rPr>
        <w:t>标人免费提供技术服务和维修。质保期自“中心存储服务”的设备部署、安装调试和系统集成通过采购单位验收之日起</w:t>
      </w:r>
      <w:r>
        <w:rPr>
          <w:rStyle w:val="66"/>
          <w:rFonts w:hint="eastAsia" w:hAnsi="宋体" w:cs="宋体"/>
          <w:szCs w:val="21"/>
          <w:highlight w:val="none"/>
        </w:rPr>
        <w:t>计算</w:t>
      </w:r>
      <w:r>
        <w:rPr>
          <w:rStyle w:val="66"/>
          <w:rFonts w:hint="eastAsia" w:ascii="宋体" w:hAnsi="宋体" w:cs="宋体"/>
          <w:szCs w:val="21"/>
          <w:highlight w:val="none"/>
        </w:rPr>
        <w:t>。</w:t>
      </w:r>
      <w:r>
        <w:rPr>
          <w:rFonts w:hint="eastAsia" w:hAnsi="宋体" w:cs="宋体"/>
          <w:sz w:val="21"/>
          <w:szCs w:val="21"/>
          <w:highlight w:val="none"/>
        </w:rPr>
        <w:t>（质保期间均为免费上门服务，产生的一切费用均由中标人承担）。</w:t>
      </w:r>
    </w:p>
    <w:p>
      <w:pPr>
        <w:numPr>
          <w:ilvl w:val="0"/>
          <w:numId w:val="4"/>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售后服务要求响应时间为：提供7×24小时电话技术咨询支持，在收到用户通知后，</w:t>
      </w:r>
      <w:r>
        <w:rPr>
          <w:rFonts w:hint="eastAsia" w:hAnsi="宋体" w:cs="宋体"/>
          <w:b/>
          <w:bCs/>
          <w:sz w:val="21"/>
          <w:szCs w:val="21"/>
          <w:highlight w:val="none"/>
        </w:rPr>
        <w:t>10分钟内须响应，须在2小时内到达现场排除故障。</w:t>
      </w:r>
    </w:p>
    <w:p>
      <w:pPr>
        <w:numPr>
          <w:ilvl w:val="0"/>
          <w:numId w:val="4"/>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质保期内因设备本身缺陷造成各种故障应由中标人免费提供技术服务和维修。</w:t>
      </w:r>
    </w:p>
    <w:p>
      <w:pPr>
        <w:numPr>
          <w:ilvl w:val="0"/>
          <w:numId w:val="4"/>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出现故障后，中标人如未按上述要求进行响应，采购人可以采取必要的补救措施，由此产生的风险和费用全部由中标人承担。</w:t>
      </w:r>
    </w:p>
    <w:p>
      <w:pPr>
        <w:numPr>
          <w:ilvl w:val="0"/>
          <w:numId w:val="4"/>
        </w:num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在质保期内，除人为损坏和不可抗力外，期间所产生的任何维护或维修及更换配件的费用均由中标人承担。</w:t>
      </w:r>
    </w:p>
    <w:p>
      <w:pPr>
        <w:snapToGrid w:val="0"/>
        <w:spacing w:line="500" w:lineRule="exact"/>
        <w:ind w:firstLine="420" w:firstLineChars="200"/>
        <w:rPr>
          <w:rFonts w:hAnsi="宋体" w:cs="宋体"/>
          <w:b/>
          <w:bCs/>
          <w:sz w:val="21"/>
          <w:szCs w:val="21"/>
          <w:highlight w:val="none"/>
        </w:rPr>
      </w:pPr>
      <w:r>
        <w:rPr>
          <w:rFonts w:hint="eastAsia" w:hAnsi="宋体" w:cs="宋体"/>
          <w:sz w:val="21"/>
          <w:szCs w:val="21"/>
          <w:highlight w:val="none"/>
        </w:rPr>
        <w:t>2.本项目所有产品产权归采购人所有。</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十二、付款方式</w:t>
      </w:r>
    </w:p>
    <w:p>
      <w:pPr>
        <w:shd w:val="clear" w:color="auto" w:fill="FFFFFF"/>
        <w:snapToGrid w:val="0"/>
        <w:spacing w:line="500" w:lineRule="exact"/>
        <w:ind w:firstLine="420" w:firstLineChars="200"/>
        <w:rPr>
          <w:rFonts w:hAnsi="宋体" w:cs="宋体"/>
          <w:bCs/>
          <w:sz w:val="21"/>
          <w:szCs w:val="21"/>
          <w:highlight w:val="none"/>
        </w:rPr>
      </w:pPr>
      <w:r>
        <w:rPr>
          <w:rFonts w:hint="eastAsia" w:hAnsi="宋体" w:cs="宋体"/>
          <w:sz w:val="21"/>
          <w:szCs w:val="21"/>
          <w:highlight w:val="none"/>
        </w:rPr>
        <w:t>合同签订后，须按付款进度开具发票，并承担由此产生的一切税金。约定付款进度如下：</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1.合同签订生效且具备实施条件后，采购单位向中标单位支付合同金额的40％作为预付款；</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2.运行维护期满后，采购单位向中标单位支付</w:t>
      </w:r>
      <w:r>
        <w:rPr>
          <w:rFonts w:hint="eastAsia" w:hAnsi="宋体" w:cs="宋体"/>
          <w:sz w:val="21"/>
          <w:szCs w:val="21"/>
          <w:highlight w:val="none"/>
          <w:lang w:eastAsia="zh-CN"/>
        </w:rPr>
        <w:t>至</w:t>
      </w:r>
      <w:r>
        <w:rPr>
          <w:rFonts w:hint="eastAsia" w:hAnsi="宋体" w:cs="宋体"/>
          <w:sz w:val="21"/>
          <w:szCs w:val="21"/>
          <w:highlight w:val="none"/>
        </w:rPr>
        <w:t>合同金额的</w:t>
      </w:r>
      <w:r>
        <w:rPr>
          <w:rFonts w:hint="eastAsia" w:hAnsi="宋体" w:cs="宋体"/>
          <w:sz w:val="21"/>
          <w:szCs w:val="21"/>
          <w:highlight w:val="none"/>
          <w:lang w:val="en-US" w:eastAsia="zh-CN"/>
        </w:rPr>
        <w:t>100</w:t>
      </w:r>
      <w:r>
        <w:rPr>
          <w:rFonts w:hint="eastAsia" w:hAnsi="宋体" w:cs="宋体"/>
          <w:sz w:val="21"/>
          <w:szCs w:val="21"/>
          <w:highlight w:val="none"/>
        </w:rPr>
        <w:t>％。</w:t>
      </w:r>
    </w:p>
    <w:p>
      <w:pPr>
        <w:snapToGrid w:val="0"/>
        <w:spacing w:line="500" w:lineRule="exact"/>
        <w:ind w:firstLine="420" w:firstLineChars="200"/>
        <w:rPr>
          <w:rFonts w:hAnsi="宋体" w:cs="宋体"/>
          <w:sz w:val="21"/>
          <w:szCs w:val="21"/>
          <w:highlight w:val="none"/>
        </w:rPr>
      </w:pPr>
      <w:r>
        <w:rPr>
          <w:rFonts w:hint="eastAsia" w:hAnsi="宋体" w:cs="宋体"/>
          <w:bCs/>
          <w:position w:val="-2"/>
          <w:sz w:val="21"/>
          <w:szCs w:val="21"/>
          <w:highlight w:val="none"/>
        </w:rPr>
        <w:t>备注：1.中标人在办理合同款结算时须开具正式发票。2.如在签订合同时，中标人明确表示无需预付款或者主动要求降低预付款比例的，可降低预付款比例（预付款保函同步调整）。3.</w:t>
      </w:r>
      <w:r>
        <w:rPr>
          <w:rFonts w:hint="eastAsia" w:hAnsi="宋体" w:cs="宋体"/>
          <w:bCs/>
          <w:position w:val="-2"/>
          <w:sz w:val="21"/>
          <w:szCs w:val="21"/>
          <w:highlight w:val="none"/>
          <w:lang w:val="zh-CN"/>
        </w:rPr>
        <w:t>为支持和促进中小企业发展，进一步发挥政府采购政策功能，浙江省财政厅出台浙财采监〔2020〕3 号文件，企业若有购买保险/保函或者融资意向，可登录政采云平台融资服务（https://jinrong.zcygov.cn/），查看相应融资政策文件及各相关服务方案，咨询热线400-903-9583。</w:t>
      </w:r>
    </w:p>
    <w:p>
      <w:pPr>
        <w:snapToGrid w:val="0"/>
        <w:spacing w:line="500" w:lineRule="exact"/>
        <w:ind w:firstLine="600" w:firstLineChars="200"/>
        <w:rPr>
          <w:rFonts w:hAnsi="宋体" w:cs="宋体"/>
          <w:sz w:val="30"/>
          <w:szCs w:val="30"/>
          <w:highlight w:val="none"/>
        </w:rPr>
      </w:pPr>
      <w:r>
        <w:rPr>
          <w:rFonts w:hint="eastAsia" w:hAnsi="宋体" w:cs="宋体"/>
          <w:sz w:val="30"/>
          <w:szCs w:val="30"/>
          <w:highlight w:val="none"/>
        </w:rPr>
        <w:br w:type="page"/>
      </w:r>
    </w:p>
    <w:p>
      <w:pPr>
        <w:pStyle w:val="5"/>
        <w:keepNext w:val="0"/>
        <w:spacing w:line="460" w:lineRule="exact"/>
        <w:jc w:val="center"/>
        <w:rPr>
          <w:rFonts w:ascii="宋体" w:hAnsi="宋体" w:cs="宋体"/>
          <w:color w:val="auto"/>
          <w:sz w:val="30"/>
          <w:szCs w:val="30"/>
          <w:highlight w:val="none"/>
        </w:rPr>
      </w:pPr>
      <w:r>
        <w:rPr>
          <w:rFonts w:hint="eastAsia" w:ascii="宋体" w:hAnsi="宋体" w:cs="宋体"/>
          <w:color w:val="auto"/>
          <w:sz w:val="30"/>
          <w:szCs w:val="30"/>
          <w:highlight w:val="none"/>
        </w:rPr>
        <w:t>第三章  投标人须知</w:t>
      </w:r>
      <w:bookmarkEnd w:id="36"/>
    </w:p>
    <w:p>
      <w:pPr>
        <w:pStyle w:val="5"/>
        <w:spacing w:line="460" w:lineRule="exact"/>
        <w:jc w:val="center"/>
        <w:rPr>
          <w:rFonts w:ascii="宋体" w:hAnsi="宋体" w:cs="宋体"/>
          <w:color w:val="auto"/>
          <w:sz w:val="30"/>
          <w:szCs w:val="30"/>
          <w:highlight w:val="none"/>
        </w:rPr>
      </w:pPr>
      <w:bookmarkStart w:id="44" w:name="_Toc351559943"/>
      <w:r>
        <w:rPr>
          <w:rFonts w:hint="eastAsia" w:ascii="宋体" w:hAnsi="宋体" w:cs="宋体"/>
          <w:color w:val="auto"/>
          <w:sz w:val="30"/>
          <w:szCs w:val="30"/>
          <w:highlight w:val="none"/>
        </w:rPr>
        <w:t>前附表</w:t>
      </w:r>
      <w:bookmarkEnd w:id="44"/>
    </w:p>
    <w:tbl>
      <w:tblPr>
        <w:tblStyle w:val="46"/>
        <w:tblW w:w="937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8"/>
        <w:gridCol w:w="2503"/>
        <w:gridCol w:w="60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序号</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ind w:firstLine="2940" w:firstLineChars="1400"/>
              <w:rPr>
                <w:rFonts w:hAnsi="宋体" w:cs="宋体"/>
                <w:sz w:val="21"/>
                <w:szCs w:val="21"/>
                <w:highlight w:val="none"/>
              </w:rPr>
            </w:pPr>
            <w:r>
              <w:rPr>
                <w:rFonts w:hint="eastAsia" w:hAnsi="宋体" w:cs="宋体"/>
                <w:sz w:val="21"/>
                <w:szCs w:val="21"/>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int="eastAsia" w:hAnsi="宋体" w:eastAsia="宋体" w:cs="宋体"/>
                <w:sz w:val="21"/>
                <w:szCs w:val="21"/>
                <w:highlight w:val="none"/>
                <w:lang w:eastAsia="zh-CN"/>
              </w:rPr>
            </w:pPr>
            <w:r>
              <w:rPr>
                <w:rFonts w:hint="eastAsia" w:hAnsi="宋体" w:cs="宋体"/>
                <w:sz w:val="21"/>
                <w:szCs w:val="21"/>
                <w:highlight w:val="none"/>
              </w:rPr>
              <w:t>项目名称：金华市固体废物管理中心关于固体废物全过程</w:t>
            </w:r>
            <w:r>
              <w:rPr>
                <w:rFonts w:hint="eastAsia" w:hAnsi="宋体" w:cs="宋体"/>
                <w:sz w:val="21"/>
                <w:szCs w:val="21"/>
                <w:highlight w:val="none"/>
                <w:lang w:eastAsia="zh-CN"/>
              </w:rPr>
              <w:t>管理平台运行及维护项目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2</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b/>
                <w:bCs/>
                <w:sz w:val="21"/>
                <w:szCs w:val="21"/>
                <w:highlight w:val="none"/>
              </w:rPr>
            </w:pPr>
            <w:r>
              <w:rPr>
                <w:rFonts w:hint="eastAsia" w:hAnsi="宋体" w:cs="宋体"/>
                <w:b/>
                <w:bCs/>
                <w:sz w:val="21"/>
                <w:szCs w:val="21"/>
                <w:highlight w:val="none"/>
              </w:rPr>
              <w:t>投标报价及费用：</w:t>
            </w:r>
          </w:p>
          <w:p>
            <w:pPr>
              <w:snapToGrid w:val="0"/>
              <w:spacing w:line="460" w:lineRule="exact"/>
              <w:rPr>
                <w:rFonts w:hAnsi="宋体" w:cs="宋体"/>
                <w:b/>
                <w:bCs/>
                <w:sz w:val="21"/>
                <w:szCs w:val="21"/>
                <w:highlight w:val="none"/>
              </w:rPr>
            </w:pPr>
            <w:r>
              <w:rPr>
                <w:rFonts w:hint="eastAsia" w:hAnsi="宋体" w:cs="宋体"/>
                <w:b/>
                <w:bCs/>
                <w:sz w:val="21"/>
                <w:szCs w:val="21"/>
                <w:highlight w:val="none"/>
              </w:rPr>
              <w:t>1.</w:t>
            </w:r>
            <w:r>
              <w:rPr>
                <w:rFonts w:hint="eastAsia" w:hAnsi="宋体" w:cs="宋体"/>
                <w:b/>
                <w:sz w:val="21"/>
                <w:szCs w:val="21"/>
                <w:highlight w:val="none"/>
              </w:rPr>
              <w:t>本项目投标应以人民币报价；</w:t>
            </w:r>
          </w:p>
          <w:p>
            <w:pPr>
              <w:snapToGrid w:val="0"/>
              <w:spacing w:line="460" w:lineRule="exact"/>
              <w:rPr>
                <w:rFonts w:hAnsi="宋体" w:cs="宋体"/>
                <w:b/>
                <w:bCs/>
                <w:sz w:val="21"/>
                <w:szCs w:val="21"/>
                <w:highlight w:val="none"/>
              </w:rPr>
            </w:pPr>
            <w:r>
              <w:rPr>
                <w:rFonts w:hint="eastAsia" w:hAnsi="宋体" w:cs="宋体"/>
                <w:b/>
                <w:bCs/>
                <w:sz w:val="21"/>
                <w:szCs w:val="21"/>
                <w:highlight w:val="none"/>
              </w:rPr>
              <w:t>2.不论投标结果如何，投标人均应自行承担所有与投标有关的全部费用；</w:t>
            </w:r>
          </w:p>
          <w:p>
            <w:pPr>
              <w:snapToGrid w:val="0"/>
              <w:spacing w:line="460" w:lineRule="exact"/>
              <w:rPr>
                <w:rFonts w:hAnsi="宋体" w:cs="宋体"/>
                <w:b/>
                <w:bCs/>
                <w:sz w:val="21"/>
                <w:szCs w:val="21"/>
                <w:highlight w:val="none"/>
              </w:rPr>
            </w:pPr>
            <w:r>
              <w:rPr>
                <w:rFonts w:hint="eastAsia" w:hAnsi="宋体" w:cs="宋体"/>
                <w:b/>
                <w:sz w:val="21"/>
                <w:szCs w:val="21"/>
                <w:highlight w:val="none"/>
              </w:rPr>
              <w:t>3.投标人取得中标资格后，须参照原国家计委的计价格（2002）1980号《关于招标代理服务收费管理暂行办法的通知》文件规定的标准向采购代理机构支付代理服务费，中标人在收到中标通知书的同时向招标代理机构以银行转账等形式支付采购代理服务费：户名：金华市天盈财务咨询有限公司，开户银行：金华银行股份有限公司多湖支行，银行账号：0188990822000064。（汇款用途请注明“采购代理服务费”及项目编号 ：</w:t>
            </w:r>
            <w:r>
              <w:rPr>
                <w:rFonts w:hint="eastAsia" w:hAnsi="宋体" w:cs="宋体"/>
                <w:b/>
                <w:sz w:val="21"/>
                <w:szCs w:val="21"/>
                <w:highlight w:val="none"/>
                <w:lang w:val="en-US" w:eastAsia="zh-CN"/>
              </w:rPr>
              <w:t>342</w:t>
            </w:r>
            <w:r>
              <w:rPr>
                <w:rFonts w:hint="eastAsia" w:hAnsi="宋体" w:cs="宋体"/>
                <w:b/>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3</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z w:val="21"/>
                <w:szCs w:val="21"/>
                <w:highlight w:val="none"/>
              </w:rPr>
              <w:t>答疑与澄清：投标人如认为招标文件表述不清晰、存在歧视性、排他性或者其他违法内容的，应当自知道或者应知其权益受到损害之日起七个工作日内，以书面形式要求招标采购单位作出书面解释、澄清或者向招标采购单位提出书面质疑；招标采购单位对已发出的招标文件进行必要澄清、答复、修改或补充的，在财政部门指定的政府采购信息发布媒体上发布更正公告，并以书面形式通知所有招标文件收受人。澄清或者修改的内容可能影响投标文件编制的，应当在投标截止时间至少15日前，以书面形式通知所有获取招标文件的潜在投标人；不足15日的，顺延提交投标文件的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4</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460" w:lineRule="exact"/>
              <w:rPr>
                <w:rFonts w:hAnsi="宋体" w:cs="宋体"/>
                <w:b/>
                <w:bCs/>
                <w:sz w:val="21"/>
                <w:szCs w:val="21"/>
                <w:highlight w:val="none"/>
              </w:rPr>
            </w:pPr>
            <w:r>
              <w:rPr>
                <w:rFonts w:hint="eastAsia" w:hAnsi="宋体" w:cs="宋体"/>
                <w:b/>
                <w:bCs/>
                <w:sz w:val="21"/>
                <w:szCs w:val="21"/>
                <w:highlight w:val="none"/>
              </w:rPr>
              <w:t>政策落实：</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1.扶持中小企业（监狱企业、残疾人福利性单位）：</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（1）项目预算：</w:t>
            </w:r>
            <w:r>
              <w:rPr>
                <w:rFonts w:hint="eastAsia" w:hAnsi="宋体" w:cs="宋体"/>
                <w:sz w:val="21"/>
                <w:szCs w:val="21"/>
                <w:highlight w:val="none"/>
                <w:u w:val="single"/>
              </w:rPr>
              <w:t xml:space="preserve">  2</w:t>
            </w:r>
            <w:r>
              <w:rPr>
                <w:rFonts w:hint="eastAsia" w:hAnsi="宋体" w:cs="宋体"/>
                <w:sz w:val="21"/>
                <w:szCs w:val="21"/>
                <w:highlight w:val="none"/>
                <w:u w:val="single"/>
                <w:lang w:val="en-US" w:eastAsia="zh-CN"/>
              </w:rPr>
              <w:t>20</w:t>
            </w:r>
            <w:r>
              <w:rPr>
                <w:rFonts w:hint="eastAsia" w:hAnsi="宋体" w:cs="宋体"/>
                <w:sz w:val="21"/>
                <w:szCs w:val="21"/>
                <w:highlight w:val="none"/>
                <w:u w:val="single"/>
              </w:rPr>
              <w:t xml:space="preserve">  </w:t>
            </w:r>
            <w:r>
              <w:rPr>
                <w:rFonts w:hint="eastAsia" w:hAnsi="宋体" w:cs="宋体"/>
                <w:sz w:val="21"/>
                <w:szCs w:val="21"/>
                <w:highlight w:val="none"/>
              </w:rPr>
              <w:t>万元</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（2）项目属性：</w:t>
            </w:r>
            <w:r>
              <w:rPr>
                <w:rFonts w:hint="eastAsia" w:hAnsi="宋体" w:cs="宋体"/>
                <w:sz w:val="21"/>
                <w:szCs w:val="21"/>
                <w:highlight w:val="none"/>
                <w:u w:val="single"/>
              </w:rPr>
              <w:t xml:space="preserve"> ②   </w:t>
            </w:r>
            <w:r>
              <w:rPr>
                <w:rFonts w:hint="eastAsia" w:hAnsi="宋体" w:cs="宋体"/>
                <w:sz w:val="21"/>
                <w:szCs w:val="21"/>
                <w:highlight w:val="none"/>
              </w:rPr>
              <w:t>（①货物类/②服务类/③工程类）</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（3）项目对应的中小企业划分标准所属行业：</w:t>
            </w:r>
            <w:r>
              <w:rPr>
                <w:rFonts w:hint="eastAsia" w:hAnsi="宋体" w:cs="宋体"/>
                <w:sz w:val="21"/>
                <w:szCs w:val="21"/>
                <w:highlight w:val="none"/>
                <w:u w:val="single"/>
              </w:rPr>
              <w:t xml:space="preserve">软件和信息技术服务业  </w:t>
            </w:r>
            <w:r>
              <w:rPr>
                <w:rFonts w:hint="eastAsia" w:hAnsi="宋体" w:cs="宋体"/>
                <w:sz w:val="21"/>
                <w:szCs w:val="21"/>
                <w:highlight w:val="none"/>
              </w:rPr>
              <w:t>（具体根据《中小企业划型标准规定》执行）</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（4）本项目</w:t>
            </w:r>
            <w:r>
              <w:rPr>
                <w:rFonts w:hint="eastAsia" w:hAnsi="宋体" w:cs="宋体"/>
                <w:sz w:val="21"/>
                <w:szCs w:val="21"/>
                <w:highlight w:val="none"/>
                <w:u w:val="single"/>
              </w:rPr>
              <w:t xml:space="preserve">  否  </w:t>
            </w:r>
            <w:r>
              <w:rPr>
                <w:rFonts w:hint="eastAsia" w:hAnsi="宋体" w:cs="宋体"/>
                <w:sz w:val="21"/>
                <w:szCs w:val="21"/>
                <w:highlight w:val="none"/>
              </w:rPr>
              <w:t>（是/否）属于预留份额专门面向中小企业采购的项目。</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 xml:space="preserve">（5）对于经主管预算单位统筹后未预留份额专门面向中小企业采购的采购项目，以及预留份额项目中的非预留部分采购包，对小微企业报价给予20%的扣除，用扣除后的价格参加评审。 </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2.节能产品、环境标志产品的强制采购政策</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（注：本项目不适用。）</w:t>
            </w:r>
          </w:p>
          <w:p>
            <w:pPr>
              <w:widowControl/>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3.节能产品、环境标志产品的优先采购政策</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（注：本项目不适用。）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5</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b/>
                <w:bCs/>
                <w:sz w:val="21"/>
                <w:szCs w:val="21"/>
                <w:highlight w:val="none"/>
              </w:rPr>
              <w:t>信用查询：</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根据《关于在政府采购活动中查询及使用信用记录有关问题的通知》财库[2016]125号的规定：</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（1）招标人或采购代理机构将对本项目供应商的信用记录进行查询。查询渠道为信用中国网站（www.creditchina.gov.cn）、中国政府采购网（www.ccgp.gov.cn）；</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（2）截止时点：提交投标文件（响应文件）截止时间前3年内；</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（3）查询记录和证据的留存：信用信息查询记录和证据以网页截图等方式留存。</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firstLine="420" w:firstLineChars="200"/>
              <w:rPr>
                <w:rFonts w:hAnsi="宋体" w:cs="宋体"/>
                <w:sz w:val="21"/>
                <w:szCs w:val="21"/>
                <w:highlight w:val="none"/>
              </w:rPr>
            </w:pPr>
            <w:r>
              <w:rPr>
                <w:rFonts w:hint="eastAsia" w:hAnsi="宋体" w:cs="宋体"/>
                <w:sz w:val="21"/>
                <w:szCs w:val="21"/>
                <w:highlight w:val="none"/>
              </w:rPr>
              <w:t>（5）联合体成员任意一方存在不良信用记录的，视同联合体存在不良信用记录。（本项目不接受联合体投标）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6</w:t>
            </w:r>
          </w:p>
        </w:tc>
        <w:tc>
          <w:tcPr>
            <w:tcW w:w="250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napToGrid w:val="0"/>
                <w:sz w:val="21"/>
                <w:szCs w:val="21"/>
                <w:highlight w:val="none"/>
              </w:rPr>
              <w:t>本项目对应的中小企业划分标准所属行业</w:t>
            </w:r>
          </w:p>
        </w:tc>
        <w:tc>
          <w:tcPr>
            <w:tcW w:w="6085"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z w:val="21"/>
                <w:szCs w:val="21"/>
                <w:highlight w:val="none"/>
              </w:rPr>
              <w:t>根据《关于印发中小企业划型标准规定的通知》（工信部联企业〔2011〕300号），本项目</w:t>
            </w:r>
            <w:r>
              <w:rPr>
                <w:rFonts w:hint="eastAsia" w:hAnsi="宋体" w:cs="宋体"/>
                <w:snapToGrid w:val="0"/>
                <w:sz w:val="21"/>
                <w:szCs w:val="21"/>
                <w:highlight w:val="none"/>
              </w:rPr>
              <w:t>对应的中小企业</w:t>
            </w:r>
            <w:r>
              <w:rPr>
                <w:rFonts w:hint="eastAsia" w:hAnsi="宋体" w:cs="宋体"/>
                <w:sz w:val="21"/>
                <w:szCs w:val="21"/>
                <w:highlight w:val="none"/>
              </w:rPr>
              <w:t>按所属行业为“</w:t>
            </w:r>
            <w:r>
              <w:rPr>
                <w:rFonts w:hint="eastAsia" w:hAnsi="宋体" w:cs="宋体"/>
                <w:sz w:val="21"/>
                <w:szCs w:val="21"/>
                <w:highlight w:val="none"/>
                <w:u w:val="single"/>
              </w:rPr>
              <w:t>软件和信息技术服务业</w:t>
            </w:r>
            <w:r>
              <w:rPr>
                <w:rFonts w:hint="eastAsia" w:hAnsi="宋体" w:cs="宋体"/>
                <w:sz w:val="21"/>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7</w:t>
            </w:r>
          </w:p>
        </w:tc>
        <w:tc>
          <w:tcPr>
            <w:tcW w:w="250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napToGrid w:val="0"/>
                <w:sz w:val="21"/>
                <w:szCs w:val="21"/>
                <w:highlight w:val="none"/>
              </w:rPr>
              <w:t>节能产品</w:t>
            </w:r>
          </w:p>
        </w:tc>
        <w:tc>
          <w:tcPr>
            <w:tcW w:w="6085"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kern w:val="2"/>
                <w:sz w:val="21"/>
                <w:highlight w:val="none"/>
              </w:rPr>
              <w:t>□</w:t>
            </w:r>
            <w:r>
              <w:rPr>
                <w:rFonts w:hint="eastAsia" w:hAnsi="宋体" w:cs="宋体"/>
                <w:sz w:val="21"/>
                <w:szCs w:val="21"/>
                <w:highlight w:val="none"/>
              </w:rPr>
              <w:t xml:space="preserve"> 强制采购节能产品</w:t>
            </w:r>
          </w:p>
          <w:p>
            <w:pPr>
              <w:pStyle w:val="109"/>
              <w:adjustRightInd w:val="0"/>
              <w:snapToGrid w:val="0"/>
              <w:spacing w:line="460" w:lineRule="exact"/>
              <w:jc w:val="left"/>
              <w:rPr>
                <w:rFonts w:hAnsi="宋体" w:cs="宋体"/>
                <w:kern w:val="2"/>
                <w:sz w:val="21"/>
                <w:highlight w:val="none"/>
              </w:rPr>
            </w:pPr>
            <w:r>
              <w:rPr>
                <w:rFonts w:hint="eastAsia" w:hAnsi="宋体" w:cs="宋体"/>
                <w:kern w:val="2"/>
                <w:sz w:val="21"/>
                <w:highlight w:val="none"/>
              </w:rPr>
              <w:sym w:font="Wingdings" w:char="00FE"/>
            </w:r>
            <w:r>
              <w:rPr>
                <w:rFonts w:hint="eastAsia" w:hAnsi="宋体" w:cs="宋体"/>
                <w:kern w:val="2"/>
                <w:sz w:val="21"/>
                <w:highlight w:val="none"/>
              </w:rPr>
              <w:t xml:space="preserve"> 优先采购节能产品</w:t>
            </w:r>
          </w:p>
          <w:p>
            <w:pPr>
              <w:snapToGrid w:val="0"/>
              <w:spacing w:line="460" w:lineRule="exact"/>
              <w:rPr>
                <w:rFonts w:hAnsi="宋体" w:cs="宋体"/>
                <w:sz w:val="21"/>
                <w:szCs w:val="21"/>
                <w:highlight w:val="none"/>
              </w:rPr>
            </w:pPr>
            <w:r>
              <w:rPr>
                <w:rFonts w:hint="eastAsia" w:hAnsi="宋体" w:cs="宋体"/>
                <w:kern w:val="2"/>
                <w:sz w:val="21"/>
                <w:highlight w:val="none"/>
              </w:rPr>
              <w:t>□</w:t>
            </w:r>
            <w:r>
              <w:rPr>
                <w:rFonts w:hint="eastAsia" w:hAnsi="宋体" w:cs="宋体"/>
                <w:sz w:val="21"/>
                <w:szCs w:val="21"/>
                <w:highlight w:val="none"/>
              </w:rPr>
              <w:t xml:space="preserve"> </w:t>
            </w:r>
            <w:r>
              <w:rPr>
                <w:rFonts w:hint="eastAsia" w:hAnsi="宋体" w:cs="宋体"/>
                <w:kern w:val="2"/>
                <w:sz w:val="21"/>
                <w:szCs w:val="21"/>
                <w:highlight w:val="none"/>
              </w:rPr>
              <w:t>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8</w:t>
            </w:r>
          </w:p>
        </w:tc>
        <w:tc>
          <w:tcPr>
            <w:tcW w:w="2503"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napToGrid w:val="0"/>
                <w:sz w:val="21"/>
                <w:szCs w:val="21"/>
                <w:highlight w:val="none"/>
              </w:rPr>
              <w:t>环境标志产品</w:t>
            </w:r>
          </w:p>
        </w:tc>
        <w:tc>
          <w:tcPr>
            <w:tcW w:w="6085" w:type="dxa"/>
            <w:tcBorders>
              <w:top w:val="single" w:color="auto" w:sz="4" w:space="0"/>
              <w:left w:val="single" w:color="auto" w:sz="4" w:space="0"/>
              <w:bottom w:val="single" w:color="auto" w:sz="4" w:space="0"/>
              <w:right w:val="single" w:color="auto" w:sz="4" w:space="0"/>
            </w:tcBorders>
            <w:vAlign w:val="center"/>
          </w:tcPr>
          <w:p>
            <w:pPr>
              <w:pStyle w:val="109"/>
              <w:adjustRightInd w:val="0"/>
              <w:snapToGrid w:val="0"/>
              <w:spacing w:line="460" w:lineRule="exact"/>
              <w:jc w:val="left"/>
              <w:rPr>
                <w:rFonts w:hAnsi="宋体" w:cs="宋体"/>
                <w:kern w:val="2"/>
                <w:sz w:val="21"/>
                <w:highlight w:val="none"/>
              </w:rPr>
            </w:pPr>
            <w:r>
              <w:rPr>
                <w:rFonts w:hint="eastAsia" w:hAnsi="宋体" w:cs="宋体"/>
                <w:kern w:val="2"/>
                <w:sz w:val="21"/>
                <w:highlight w:val="none"/>
              </w:rPr>
              <w:sym w:font="Wingdings" w:char="00FE"/>
            </w:r>
            <w:r>
              <w:rPr>
                <w:rFonts w:hint="eastAsia" w:hAnsi="宋体" w:cs="宋体"/>
                <w:kern w:val="2"/>
                <w:sz w:val="21"/>
                <w:highlight w:val="none"/>
              </w:rPr>
              <w:t xml:space="preserve"> 优先采购环境标志产品</w:t>
            </w:r>
          </w:p>
          <w:p>
            <w:pPr>
              <w:snapToGrid w:val="0"/>
              <w:spacing w:line="460" w:lineRule="exact"/>
              <w:rPr>
                <w:rFonts w:hAnsi="宋体" w:cs="宋体"/>
                <w:sz w:val="21"/>
                <w:szCs w:val="21"/>
                <w:highlight w:val="none"/>
              </w:rPr>
            </w:pPr>
            <w:r>
              <w:rPr>
                <w:rFonts w:hint="eastAsia" w:hAnsi="宋体" w:cs="宋体"/>
                <w:kern w:val="2"/>
                <w:sz w:val="21"/>
                <w:highlight w:val="none"/>
              </w:rPr>
              <w:t>□</w:t>
            </w:r>
            <w:r>
              <w:rPr>
                <w:rFonts w:hint="eastAsia" w:hAnsi="宋体" w:cs="宋体"/>
                <w:sz w:val="21"/>
                <w:szCs w:val="21"/>
                <w:highlight w:val="none"/>
              </w:rPr>
              <w:t xml:space="preserve"> 不适用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9</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both"/>
              <w:textAlignment w:val="bottom"/>
              <w:rPr>
                <w:rFonts w:hAnsi="宋体" w:cs="宋体"/>
                <w:sz w:val="21"/>
                <w:szCs w:val="21"/>
                <w:highlight w:val="none"/>
              </w:rPr>
            </w:pPr>
            <w:r>
              <w:rPr>
                <w:rFonts w:hint="eastAsia" w:hAnsi="宋体" w:cs="宋体"/>
                <w:sz w:val="21"/>
                <w:szCs w:val="21"/>
                <w:highlight w:val="none"/>
              </w:rPr>
              <w:t>投标文件的递交：</w:t>
            </w:r>
          </w:p>
          <w:p>
            <w:pPr>
              <w:snapToGrid w:val="0"/>
              <w:spacing w:line="440" w:lineRule="exact"/>
              <w:jc w:val="both"/>
              <w:textAlignment w:val="bottom"/>
              <w:rPr>
                <w:rFonts w:hAnsi="宋体" w:cs="宋体"/>
                <w:sz w:val="21"/>
                <w:szCs w:val="21"/>
                <w:highlight w:val="none"/>
              </w:rPr>
            </w:pPr>
            <w:r>
              <w:rPr>
                <w:rFonts w:hint="eastAsia" w:hAnsi="宋体" w:cs="宋体"/>
                <w:sz w:val="21"/>
                <w:szCs w:val="21"/>
                <w:highlight w:val="none"/>
              </w:rPr>
              <w:t>本项目投标文件分资格文件、商务技术文件、报价文件 三部分。投标人应以以下方式递交投标文件：</w:t>
            </w:r>
          </w:p>
          <w:p>
            <w:pPr>
              <w:spacing w:line="440" w:lineRule="exact"/>
              <w:jc w:val="both"/>
              <w:textAlignment w:val="bottom"/>
              <w:rPr>
                <w:rFonts w:hAnsi="宋体" w:cs="宋体"/>
                <w:sz w:val="21"/>
                <w:szCs w:val="21"/>
                <w:highlight w:val="none"/>
              </w:rPr>
            </w:pPr>
            <w:r>
              <w:rPr>
                <w:rFonts w:hint="eastAsia" w:hAnsi="宋体" w:cs="宋体"/>
                <w:sz w:val="21"/>
                <w:szCs w:val="21"/>
                <w:highlight w:val="none"/>
              </w:rPr>
              <w:t>★1.本项目实行“网上电子投标、电子评标”，投标人应于投标截止时间前在“政采云”（ 电子交易客户端）上传输、递交电子版投标文件（包括资格文件、商务技术文件和报价文件）；</w:t>
            </w:r>
          </w:p>
          <w:p>
            <w:pPr>
              <w:spacing w:line="440" w:lineRule="exact"/>
              <w:jc w:val="both"/>
              <w:textAlignment w:val="bottom"/>
              <w:rPr>
                <w:rFonts w:hAnsi="宋体" w:cs="宋体"/>
                <w:sz w:val="21"/>
                <w:szCs w:val="21"/>
                <w:highlight w:val="none"/>
              </w:rPr>
            </w:pPr>
            <w:r>
              <w:rPr>
                <w:rFonts w:hint="eastAsia" w:hAnsi="宋体" w:cs="宋体"/>
                <w:sz w:val="21"/>
                <w:szCs w:val="21"/>
                <w:highlight w:val="none"/>
              </w:rPr>
              <w:t>2.本招标文件所涉及的法定代表人或其授权代表签字或盖章的内容，如果投标人没有法定代表人电子签章，涉及到法定代表人或其授权代表签字或盖章的内容，投标人可以线下签字或盖章后扫描上传。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10</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both"/>
              <w:textAlignment w:val="bottom"/>
              <w:rPr>
                <w:rFonts w:hAnsi="宋体" w:cs="宋体"/>
                <w:sz w:val="21"/>
                <w:szCs w:val="21"/>
                <w:highlight w:val="none"/>
              </w:rPr>
            </w:pPr>
            <w:r>
              <w:rPr>
                <w:rFonts w:hint="eastAsia" w:hAnsi="宋体" w:cs="宋体"/>
                <w:sz w:val="21"/>
                <w:szCs w:val="21"/>
                <w:highlight w:val="none"/>
              </w:rPr>
              <w:t>投标截止时间及地点：</w:t>
            </w:r>
          </w:p>
          <w:p>
            <w:pPr>
              <w:snapToGrid w:val="0"/>
              <w:spacing w:line="440" w:lineRule="exact"/>
              <w:jc w:val="both"/>
              <w:textAlignment w:val="bottom"/>
              <w:rPr>
                <w:rFonts w:hAnsi="宋体" w:cs="宋体"/>
                <w:sz w:val="21"/>
                <w:szCs w:val="21"/>
                <w:highlight w:val="none"/>
              </w:rPr>
            </w:pPr>
            <w:r>
              <w:rPr>
                <w:rFonts w:hint="eastAsia" w:hAnsi="宋体" w:cs="宋体"/>
                <w:sz w:val="21"/>
                <w:szCs w:val="21"/>
                <w:highlight w:val="none"/>
              </w:rPr>
              <w:t>投标人应当在投标截止时间前在“政采云”（电子交易平台）上自行上传加密的电子投标（响应）文件。投标截止时间后递交的电子投标（响应）文件，将被政采云平台拒收。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hAnsi="宋体" w:cs="宋体"/>
                <w:sz w:val="21"/>
                <w:szCs w:val="21"/>
                <w:highlight w:val="none"/>
              </w:rPr>
            </w:pPr>
            <w:r>
              <w:rPr>
                <w:rFonts w:hint="eastAsia" w:hAnsi="宋体" w:cs="宋体"/>
                <w:sz w:val="21"/>
                <w:szCs w:val="21"/>
                <w:highlight w:val="none"/>
              </w:rPr>
              <w:t>11</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both"/>
              <w:textAlignment w:val="bottom"/>
              <w:rPr>
                <w:rFonts w:hAnsi="宋体" w:cs="宋体"/>
                <w:sz w:val="21"/>
                <w:szCs w:val="21"/>
                <w:highlight w:val="none"/>
              </w:rPr>
            </w:pPr>
            <w:r>
              <w:rPr>
                <w:rFonts w:hint="eastAsia" w:hAnsi="宋体" w:cs="宋体"/>
                <w:sz w:val="21"/>
                <w:szCs w:val="21"/>
                <w:highlight w:val="none"/>
              </w:rPr>
              <w:t>开标时间及地点： 2022</w:t>
            </w:r>
            <w:r>
              <w:rPr>
                <w:rFonts w:hint="eastAsia" w:hAnsi="宋体" w:cs="宋体"/>
                <w:bCs/>
                <w:sz w:val="21"/>
                <w:szCs w:val="21"/>
                <w:highlight w:val="none"/>
              </w:rPr>
              <w:t xml:space="preserve">年 </w:t>
            </w:r>
            <w:r>
              <w:rPr>
                <w:rFonts w:hint="eastAsia" w:hAnsi="宋体" w:cs="宋体"/>
                <w:bCs/>
                <w:sz w:val="21"/>
                <w:szCs w:val="21"/>
                <w:highlight w:val="none"/>
                <w:lang w:val="en-US" w:eastAsia="zh-CN"/>
              </w:rPr>
              <w:t>12</w:t>
            </w:r>
            <w:r>
              <w:rPr>
                <w:rFonts w:hint="eastAsia" w:hAnsi="宋体" w:cs="宋体"/>
                <w:bCs/>
                <w:sz w:val="21"/>
                <w:szCs w:val="21"/>
                <w:highlight w:val="none"/>
              </w:rPr>
              <w:t>月</w:t>
            </w:r>
            <w:r>
              <w:rPr>
                <w:rFonts w:hint="eastAsia" w:hAnsi="宋体" w:cs="宋体"/>
                <w:bCs/>
                <w:sz w:val="21"/>
                <w:szCs w:val="21"/>
                <w:highlight w:val="none"/>
                <w:lang w:val="en-US" w:eastAsia="zh-CN"/>
              </w:rPr>
              <w:t>08</w:t>
            </w:r>
            <w:r>
              <w:rPr>
                <w:rFonts w:hint="eastAsia" w:hAnsi="宋体" w:cs="宋体"/>
                <w:bCs/>
                <w:sz w:val="21"/>
                <w:szCs w:val="21"/>
                <w:highlight w:val="none"/>
              </w:rPr>
              <w:t xml:space="preserve"> 日</w:t>
            </w:r>
            <w:r>
              <w:rPr>
                <w:rFonts w:hint="eastAsia" w:hAnsi="宋体" w:cs="宋体"/>
                <w:bCs/>
                <w:sz w:val="21"/>
                <w:szCs w:val="21"/>
                <w:highlight w:val="none"/>
                <w:lang w:val="en-US" w:eastAsia="zh-CN"/>
              </w:rPr>
              <w:t>09</w:t>
            </w:r>
            <w:r>
              <w:rPr>
                <w:rFonts w:hint="eastAsia" w:hAnsi="宋体" w:cs="宋体"/>
                <w:bCs/>
                <w:sz w:val="21"/>
                <w:szCs w:val="21"/>
                <w:highlight w:val="none"/>
              </w:rPr>
              <w:t>点</w:t>
            </w:r>
            <w:r>
              <w:rPr>
                <w:rFonts w:hint="eastAsia" w:hAnsi="宋体" w:cs="宋体"/>
                <w:bCs/>
                <w:sz w:val="21"/>
                <w:szCs w:val="21"/>
                <w:highlight w:val="none"/>
                <w:lang w:val="en-US" w:eastAsia="zh-CN"/>
              </w:rPr>
              <w:t>3</w:t>
            </w:r>
            <w:r>
              <w:rPr>
                <w:rFonts w:hint="eastAsia" w:hAnsi="宋体" w:cs="宋体"/>
                <w:bCs/>
                <w:sz w:val="21"/>
                <w:szCs w:val="21"/>
                <w:highlight w:val="none"/>
              </w:rPr>
              <w:t>0</w:t>
            </w:r>
            <w:r>
              <w:rPr>
                <w:rFonts w:hint="eastAsia" w:hAnsi="宋体" w:cs="宋体"/>
                <w:sz w:val="21"/>
                <w:szCs w:val="21"/>
                <w:highlight w:val="none"/>
              </w:rPr>
              <w:t xml:space="preserve">时，金华市双龙南街858号金华财富大厦（金华市行政服务中心新办事大厅4楼开标 </w:t>
            </w:r>
            <w:r>
              <w:rPr>
                <w:rFonts w:hint="eastAsia" w:hAnsi="宋体" w:cs="宋体"/>
                <w:sz w:val="21"/>
                <w:szCs w:val="21"/>
                <w:highlight w:val="none"/>
                <w:lang w:val="en-US" w:eastAsia="zh-CN"/>
              </w:rPr>
              <w:t xml:space="preserve">3 </w:t>
            </w:r>
            <w:bookmarkStart w:id="59" w:name="_GoBack"/>
            <w:bookmarkEnd w:id="59"/>
            <w:r>
              <w:rPr>
                <w:rFonts w:hint="eastAsia" w:hAnsi="宋体" w:cs="宋体"/>
                <w:sz w:val="21"/>
                <w:szCs w:val="21"/>
                <w:highlight w:val="none"/>
              </w:rPr>
              <w:t>室）</w:t>
            </w:r>
          </w:p>
          <w:p>
            <w:pPr>
              <w:snapToGrid w:val="0"/>
              <w:spacing w:line="440" w:lineRule="exact"/>
              <w:jc w:val="both"/>
              <w:textAlignment w:val="bottom"/>
              <w:rPr>
                <w:rFonts w:hAnsi="宋体" w:cs="宋体"/>
                <w:bCs/>
                <w:sz w:val="21"/>
                <w:szCs w:val="21"/>
                <w:highlight w:val="none"/>
              </w:rPr>
            </w:pPr>
            <w:r>
              <w:rPr>
                <w:rFonts w:hint="eastAsia" w:hAnsi="宋体" w:cs="宋体"/>
                <w:sz w:val="21"/>
                <w:szCs w:val="21"/>
                <w:highlight w:val="none"/>
              </w:rPr>
              <w:t>截止开标时间，政采云（电子交易平台）自动提取所有投标文件，投标人须在解密时限内完成解密，解密时限为30分钟，投标人在规定的时间内都已解密完成，则系统自动结束解密，采购代理机构开启投标文件；除另有规定外，投标人未能在约定的解密时限内完成解密的，系统将默认其自动放弃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12</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textAlignment w:val="bottom"/>
              <w:rPr>
                <w:rFonts w:hAnsi="宋体" w:cs="宋体"/>
                <w:sz w:val="21"/>
                <w:szCs w:val="21"/>
                <w:highlight w:val="none"/>
              </w:rPr>
            </w:pPr>
            <w:r>
              <w:rPr>
                <w:rFonts w:hint="eastAsia" w:hAnsi="宋体" w:cs="宋体"/>
                <w:sz w:val="21"/>
                <w:szCs w:val="21"/>
                <w:highlight w:val="none"/>
              </w:rPr>
              <w:t>评标办法：综合评分法。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13</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textAlignment w:val="bottom"/>
              <w:rPr>
                <w:rFonts w:hAnsi="宋体" w:cs="宋体"/>
                <w:sz w:val="21"/>
                <w:szCs w:val="21"/>
                <w:highlight w:val="none"/>
              </w:rPr>
            </w:pPr>
            <w:r>
              <w:rPr>
                <w:rFonts w:hint="eastAsia" w:hAnsi="宋体" w:cs="宋体"/>
                <w:sz w:val="21"/>
                <w:szCs w:val="21"/>
                <w:highlight w:val="none"/>
              </w:rPr>
              <w:t>结果公示：结果公示于浙江政府采购网(</w:t>
            </w:r>
            <w:r>
              <w:rPr>
                <w:highlight w:val="none"/>
              </w:rPr>
              <w:fldChar w:fldCharType="begin"/>
            </w:r>
            <w:r>
              <w:rPr>
                <w:highlight w:val="none"/>
              </w:rPr>
              <w:instrText xml:space="preserve"> HYPERLINK "http://www.zjzfcg.gov.cn/" </w:instrText>
            </w:r>
            <w:r>
              <w:rPr>
                <w:highlight w:val="none"/>
              </w:rPr>
              <w:fldChar w:fldCharType="separate"/>
            </w:r>
            <w:r>
              <w:rPr>
                <w:rFonts w:hint="eastAsia" w:hAnsi="宋体" w:cs="宋体"/>
                <w:sz w:val="21"/>
                <w:szCs w:val="21"/>
                <w:highlight w:val="none"/>
              </w:rPr>
              <w:t>http://zfcg.czt.zj.gov.cn/</w:t>
            </w:r>
            <w:r>
              <w:rPr>
                <w:rFonts w:hint="eastAsia" w:hAnsi="宋体" w:cs="宋体"/>
                <w:sz w:val="21"/>
                <w:szCs w:val="21"/>
                <w:highlight w:val="none"/>
              </w:rPr>
              <w:fldChar w:fldCharType="end"/>
            </w:r>
            <w:r>
              <w:rPr>
                <w:rFonts w:hint="eastAsia" w:hAnsi="宋体" w:cs="宋体"/>
                <w:sz w:val="21"/>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8"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14</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textAlignment w:val="bottom"/>
              <w:rPr>
                <w:rFonts w:hAnsi="宋体" w:cs="宋体"/>
                <w:sz w:val="21"/>
                <w:szCs w:val="21"/>
                <w:highlight w:val="none"/>
              </w:rPr>
            </w:pPr>
            <w:r>
              <w:rPr>
                <w:rFonts w:hint="eastAsia" w:hAnsi="宋体" w:cs="宋体"/>
                <w:sz w:val="21"/>
                <w:szCs w:val="21"/>
                <w:highlight w:val="none"/>
              </w:rPr>
              <w:t>签订合同时间：中标通知书发出后20日内。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8"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15</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textAlignment w:val="bottom"/>
              <w:rPr>
                <w:rFonts w:hAnsi="宋体" w:cs="宋体"/>
                <w:sz w:val="21"/>
                <w:szCs w:val="21"/>
                <w:highlight w:val="none"/>
              </w:rPr>
            </w:pPr>
            <w:r>
              <w:rPr>
                <w:rFonts w:hint="eastAsia" w:hAnsi="宋体" w:cs="宋体"/>
                <w:b/>
                <w:sz w:val="21"/>
                <w:szCs w:val="21"/>
                <w:highlight w:val="none"/>
              </w:rPr>
              <w:t xml:space="preserve">履约保证金的收取及退还: </w:t>
            </w:r>
          </w:p>
          <w:p>
            <w:pPr>
              <w:widowControl/>
              <w:autoSpaceDE/>
              <w:autoSpaceDN/>
              <w:spacing w:line="460" w:lineRule="exact"/>
              <w:rPr>
                <w:rFonts w:hAnsi="宋体" w:cs="宋体"/>
                <w:b/>
                <w:sz w:val="21"/>
                <w:szCs w:val="21"/>
                <w:highlight w:val="none"/>
              </w:rPr>
            </w:pPr>
            <w:r>
              <w:rPr>
                <w:rFonts w:hint="eastAsia" w:hAnsi="宋体" w:cs="宋体"/>
                <w:b/>
                <w:sz w:val="21"/>
                <w:szCs w:val="21"/>
                <w:highlight w:val="none"/>
              </w:rPr>
              <w:t>1.中标人必须在合同签订时向采购人缴纳中标金额1%的履约保证金，可以支票、汇票、本票或者金融机构、保险公司、担保机构出具的保函/保险（可在政采云平台购买，咨询热线4009039583）等非现金形式提交。履约保证金（或履约保函）在运行服务已达到采购文件与合同约定的要求、中标人投标文件的承诺且通过采购人验收后，予以无息退还（或撤销到期履约保函）</w:t>
            </w:r>
            <w:r>
              <w:rPr>
                <w:rFonts w:hint="eastAsia" w:hAnsi="宋体" w:cs="宋体"/>
                <w:b/>
                <w:bCs/>
                <w:sz w:val="21"/>
                <w:szCs w:val="21"/>
                <w:highlight w:val="none"/>
              </w:rPr>
              <w:t>。</w:t>
            </w:r>
          </w:p>
          <w:p>
            <w:pPr>
              <w:snapToGrid w:val="0"/>
              <w:spacing w:line="460" w:lineRule="exact"/>
              <w:textAlignment w:val="bottom"/>
              <w:rPr>
                <w:rFonts w:hAnsi="宋体" w:cs="宋体"/>
                <w:sz w:val="21"/>
                <w:szCs w:val="21"/>
                <w:highlight w:val="none"/>
              </w:rPr>
            </w:pPr>
            <w:r>
              <w:rPr>
                <w:rFonts w:hint="eastAsia" w:hAnsi="宋体" w:cs="宋体"/>
                <w:b/>
                <w:sz w:val="21"/>
                <w:szCs w:val="21"/>
                <w:highlight w:val="none"/>
              </w:rPr>
              <w:t>2.为支持和促进中小企业发展，进一步发挥政府采购政策功能，浙江省财政厅出台浙财采监〔2020〕3 号文件，企业若有购买保险/保函或者融资意向，可</w:t>
            </w:r>
            <w:r>
              <w:rPr>
                <w:rFonts w:hint="eastAsia" w:hAnsi="宋体" w:cs="宋体"/>
                <w:b/>
                <w:sz w:val="21"/>
                <w:szCs w:val="21"/>
                <w:highlight w:val="none"/>
                <w:lang w:eastAsia="zh-CN"/>
              </w:rPr>
              <w:t>登录</w:t>
            </w:r>
            <w:r>
              <w:rPr>
                <w:rFonts w:hint="eastAsia" w:hAnsi="宋体" w:cs="宋体"/>
                <w:b/>
                <w:sz w:val="21"/>
                <w:szCs w:val="21"/>
                <w:highlight w:val="none"/>
              </w:rPr>
              <w:t>政采云平台融资服务（https://jinrong.zcygov.cn/），查看相应融资政策文件及各相关服务方案，咨询热线400-903-9583。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7"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16</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z w:val="21"/>
                <w:szCs w:val="21"/>
                <w:highlight w:val="none"/>
              </w:rPr>
              <w:t>投标文件有效期：90天。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88" w:type="dxa"/>
            <w:tcBorders>
              <w:top w:val="single" w:color="auto" w:sz="4" w:space="0"/>
              <w:left w:val="single" w:color="auto" w:sz="4" w:space="0"/>
              <w:bottom w:val="single" w:color="auto" w:sz="4" w:space="0"/>
              <w:right w:val="single" w:color="auto" w:sz="4" w:space="0"/>
            </w:tcBorders>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17</w:t>
            </w:r>
          </w:p>
        </w:tc>
        <w:tc>
          <w:tcPr>
            <w:tcW w:w="858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460" w:lineRule="exact"/>
              <w:rPr>
                <w:rFonts w:hAnsi="宋体" w:cs="宋体"/>
                <w:sz w:val="21"/>
                <w:szCs w:val="21"/>
                <w:highlight w:val="none"/>
              </w:rPr>
            </w:pPr>
            <w:r>
              <w:rPr>
                <w:rFonts w:hint="eastAsia" w:hAnsi="宋体" w:cs="宋体"/>
                <w:sz w:val="21"/>
                <w:szCs w:val="21"/>
                <w:highlight w:val="none"/>
              </w:rPr>
              <w:t>解释：本招标文件的解释权属于招标采购单位。</w:t>
            </w:r>
          </w:p>
        </w:tc>
      </w:tr>
    </w:tbl>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一、总则</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（一）适用范围</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本招标文件适用于固体废物全过程</w:t>
      </w:r>
      <w:r>
        <w:rPr>
          <w:rFonts w:hint="eastAsia" w:hAnsi="宋体" w:cs="宋体"/>
          <w:sz w:val="21"/>
          <w:szCs w:val="21"/>
          <w:highlight w:val="none"/>
          <w:lang w:eastAsia="zh-CN"/>
        </w:rPr>
        <w:t>管理平台运行及维护项目</w:t>
      </w:r>
      <w:r>
        <w:rPr>
          <w:rFonts w:hint="eastAsia" w:hAnsi="宋体" w:cs="宋体"/>
          <w:sz w:val="21"/>
          <w:szCs w:val="21"/>
          <w:highlight w:val="none"/>
        </w:rPr>
        <w:t>的招标、投标、评标、定标、集体验收、合同履约、付款等行为（法律、法规另有规定的，从其规定）。</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（二）定义</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1.招标采购单位系指组织本次招标的代理机构和采购人（</w:t>
      </w:r>
      <w:r>
        <w:rPr>
          <w:rFonts w:hint="eastAsia" w:hAnsi="宋体" w:cs="宋体"/>
          <w:sz w:val="21"/>
          <w:szCs w:val="21"/>
          <w:highlight w:val="none"/>
          <w:lang w:eastAsia="zh-CN"/>
        </w:rPr>
        <w:t>“</w:t>
      </w:r>
      <w:r>
        <w:rPr>
          <w:rFonts w:hint="eastAsia" w:hAnsi="宋体" w:cs="宋体"/>
          <w:sz w:val="21"/>
          <w:szCs w:val="21"/>
          <w:highlight w:val="none"/>
        </w:rPr>
        <w:t>采购单位</w:t>
      </w:r>
      <w:r>
        <w:rPr>
          <w:rFonts w:hint="eastAsia" w:hAnsi="宋体" w:cs="宋体"/>
          <w:sz w:val="21"/>
          <w:szCs w:val="21"/>
          <w:highlight w:val="none"/>
          <w:lang w:eastAsia="zh-CN"/>
        </w:rPr>
        <w:t>”“</w:t>
      </w:r>
      <w:r>
        <w:rPr>
          <w:rFonts w:hint="eastAsia" w:hAnsi="宋体" w:cs="宋体"/>
          <w:sz w:val="21"/>
          <w:szCs w:val="21"/>
          <w:highlight w:val="none"/>
          <w:lang w:val="en-US" w:eastAsia="zh-CN"/>
        </w:rPr>
        <w:t>招标人</w:t>
      </w:r>
      <w:r>
        <w:rPr>
          <w:rFonts w:hint="eastAsia" w:hAnsi="宋体" w:cs="宋体"/>
          <w:sz w:val="21"/>
          <w:szCs w:val="21"/>
          <w:highlight w:val="none"/>
          <w:lang w:eastAsia="zh-CN"/>
        </w:rPr>
        <w:t>”</w:t>
      </w:r>
      <w:r>
        <w:rPr>
          <w:rFonts w:hint="eastAsia" w:hAnsi="宋体" w:cs="宋体"/>
          <w:sz w:val="21"/>
          <w:szCs w:val="21"/>
          <w:highlight w:val="none"/>
        </w:rPr>
        <w:t>）。</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2.“投标人”系指向采购人提交投标文件的单位或个人，本次招标对合格投标人的具体要求见招标公告。</w:t>
      </w:r>
    </w:p>
    <w:p>
      <w:pPr>
        <w:snapToGrid w:val="0"/>
        <w:spacing w:line="500" w:lineRule="exact"/>
        <w:ind w:firstLine="420" w:firstLineChars="200"/>
        <w:rPr>
          <w:rFonts w:hAnsi="宋体" w:cs="宋体"/>
          <w:sz w:val="21"/>
          <w:szCs w:val="21"/>
          <w:highlight w:val="none"/>
        </w:rPr>
      </w:pPr>
      <w:r>
        <w:rPr>
          <w:rStyle w:val="66"/>
          <w:rFonts w:hint="eastAsia" w:ascii="宋体" w:hAnsi="宋体" w:cs="宋体"/>
          <w:szCs w:val="21"/>
          <w:highlight w:val="none"/>
        </w:rPr>
        <w:t>3.</w:t>
      </w:r>
      <w:r>
        <w:rPr>
          <w:rFonts w:hint="eastAsia" w:hAnsi="宋体" w:cs="宋体"/>
          <w:sz w:val="21"/>
          <w:szCs w:val="21"/>
          <w:highlight w:val="none"/>
        </w:rPr>
        <w:t>“产品”系指供方按招标文件规定，须向采购人提供的一切货物、设备、保险、备品备件、工具及其它有关技术资料和材料。</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4.“服务” 系指中标人受金华市固体废物管理中心委托提供的固体废物全过程管理平台接入及运行维护招标文件中约定的已建点位和新建点位的维保、机柜租赁、专网接入、人员驻点服务以及其他相关的义务。</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5.“项目”系指投标人按招标文件规定向采购人提供的专业服务并提交符合要求的服务及货物。</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6.“书面形式”包括信函、传真、电报等。</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7.“</w:t>
      </w:r>
      <w:r>
        <w:rPr>
          <w:rFonts w:hint="eastAsia" w:hAnsi="宋体" w:cs="宋体"/>
          <w:bCs/>
          <w:sz w:val="21"/>
          <w:szCs w:val="21"/>
          <w:highlight w:val="none"/>
        </w:rPr>
        <w:t>★</w:t>
      </w:r>
      <w:r>
        <w:rPr>
          <w:rFonts w:hint="eastAsia" w:hAnsi="宋体" w:cs="宋体"/>
          <w:sz w:val="21"/>
          <w:szCs w:val="21"/>
          <w:highlight w:val="none"/>
        </w:rPr>
        <w:t>”系指实质性要求指标，“</w:t>
      </w:r>
      <w:r>
        <w:rPr>
          <w:rFonts w:hint="eastAsia" w:hAnsi="宋体" w:cs="宋体"/>
          <w:b/>
          <w:sz w:val="21"/>
          <w:szCs w:val="21"/>
          <w:highlight w:val="none"/>
        </w:rPr>
        <w:t>▲</w:t>
      </w:r>
      <w:r>
        <w:rPr>
          <w:rFonts w:hint="eastAsia" w:hAnsi="宋体" w:cs="宋体"/>
          <w:sz w:val="21"/>
          <w:szCs w:val="21"/>
          <w:highlight w:val="none"/>
        </w:rPr>
        <w:t>”系指重要性指标条款。</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（三）招标方式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本次招标采用公开招标方式进行。</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（四）投标委托</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如投标人代表不是法定代表人，须有法定代表人出具的授权委托书。</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（五）投标费用</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不论投标结果如何，投标人均应自行承担所有与投标有关的全部费用（招标文件有相反规定的除外）。</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（六）勘察现场</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人可进行现场考察，以获取有关投标、签署合同和其他所需的资料。采购单位和代理机构不组织集中考察，由各投标人自行安排，但必须在开标5天前进行。投标人在考察过程中发生的各类事件和所发生的各项费用，均由投标人自行承担，采购人和代理机构概不负责。</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2.采购人向投标人提供的有关现场的数据和资料，是采购人现有的能被投标人利用的资料，采购人对投标人据此做出的任何推论、理解和结论不负责任。</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（七）知识产权</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人须保证，采购人在中华人民共和国境内使用投标资料、技术、服务或其任何一部分时，享有不受限制的无偿使用权，不会产生因第三方提出侵犯其专利权、商标权或其它知识产权而引起的法律或经济纠纷。如投标人不拥有相应的知识产权，则在投标报价中必须包括合法获取该知识产权的一切相关费用。如因此导致采购人损失的，投标人须承担全部赔偿责任。</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2.所有投标文件不论中标与否均不退还。</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在招标过程中，本项目由采购人提供的所有基础资料（包括文字、图纸、电子数据）的版权均受法律保护，投标人应按国家要求做好所有基础资料的保密工作，除为本项目本身使用外，不做其他用途，任何未经采购人同意的修改、拷贝、传播、公开发布等行为都将承担由此引起的一切经济、法律责任。</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（八）联合体投标</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1.本项目不允许联合体形式投标。</w:t>
      </w:r>
    </w:p>
    <w:p>
      <w:pPr>
        <w:autoSpaceDE/>
        <w:autoSpaceDN/>
        <w:adjustRightInd/>
        <w:spacing w:line="500" w:lineRule="exact"/>
        <w:ind w:left="415" w:leftChars="122"/>
        <w:jc w:val="both"/>
        <w:rPr>
          <w:rFonts w:hAnsi="宋体" w:cs="宋体"/>
          <w:b/>
          <w:sz w:val="21"/>
          <w:szCs w:val="21"/>
          <w:highlight w:val="none"/>
        </w:rPr>
      </w:pPr>
      <w:r>
        <w:rPr>
          <w:rFonts w:hint="eastAsia" w:hAnsi="宋体" w:cs="宋体"/>
          <w:b/>
          <w:sz w:val="21"/>
          <w:szCs w:val="21"/>
          <w:highlight w:val="none"/>
        </w:rPr>
        <w:t>（九）转包与分包</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1.本项目不允许转包。</w:t>
      </w:r>
    </w:p>
    <w:p>
      <w:pPr>
        <w:autoSpaceDE/>
        <w:autoSpaceDN/>
        <w:adjustRightInd/>
        <w:snapToGrid w:val="0"/>
        <w:spacing w:line="500" w:lineRule="exact"/>
        <w:ind w:firstLine="420" w:firstLineChars="200"/>
        <w:jc w:val="both"/>
        <w:rPr>
          <w:rFonts w:hAnsi="宋体" w:cs="宋体"/>
          <w:b/>
          <w:sz w:val="21"/>
          <w:szCs w:val="21"/>
          <w:highlight w:val="none"/>
        </w:rPr>
      </w:pPr>
      <w:r>
        <w:rPr>
          <w:rFonts w:hint="eastAsia" w:hAnsi="宋体" w:cs="宋体"/>
          <w:sz w:val="21"/>
          <w:szCs w:val="21"/>
          <w:highlight w:val="none"/>
          <w:lang w:bidi="ar"/>
        </w:rPr>
        <w:t>2.</w:t>
      </w:r>
      <w:r>
        <w:rPr>
          <w:rStyle w:val="66"/>
          <w:rFonts w:hint="eastAsia" w:ascii="宋体" w:hAnsi="宋体" w:cs="宋体"/>
          <w:szCs w:val="21"/>
          <w:highlight w:val="none"/>
        </w:rPr>
        <w:t>非经</w:t>
      </w:r>
      <w:r>
        <w:rPr>
          <w:rStyle w:val="66"/>
          <w:rFonts w:hint="eastAsia" w:hAnsi="宋体" w:cs="宋体"/>
          <w:szCs w:val="21"/>
          <w:highlight w:val="none"/>
        </w:rPr>
        <w:t>采购人</w:t>
      </w:r>
      <w:r>
        <w:rPr>
          <w:rStyle w:val="66"/>
          <w:rFonts w:hint="eastAsia" w:ascii="宋体" w:hAnsi="宋体" w:cs="宋体"/>
          <w:szCs w:val="21"/>
          <w:highlight w:val="none"/>
        </w:rPr>
        <w:t>同意，本项目不允许分包。</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（十）特别说明</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bCs/>
          <w:sz w:val="21"/>
          <w:szCs w:val="21"/>
          <w:highlight w:val="none"/>
        </w:rPr>
        <w:t>★</w:t>
      </w:r>
      <w:r>
        <w:rPr>
          <w:rFonts w:hint="eastAsia" w:hAnsi="宋体" w:cs="宋体"/>
          <w:sz w:val="21"/>
          <w:szCs w:val="21"/>
          <w:highlight w:val="none"/>
        </w:rPr>
        <w:t>1.投标单位负责人为同一人或者存在直接控股、管理关系的不同投标人，不得参加同一合同项下的政府采购活动。如在评标过程（或标后质疑投诉期内）中发现投标人间存在上述关系，存在上述关系的全部投标人均做无效投标（或无效中标）处理。</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highlight w:val="none"/>
        </w:rPr>
        <w:t>2.</w:t>
      </w:r>
      <w:r>
        <w:rPr>
          <w:rFonts w:hint="eastAsia" w:hAnsi="宋体" w:cs="宋体"/>
          <w:b/>
          <w:sz w:val="21"/>
          <w:szCs w:val="21"/>
          <w:highlight w:val="none"/>
        </w:rPr>
        <w:t>“政采云”平台运营机构，以及与该机构有直接控股或者管理关系可能影响采购公正性的任何单位和个人，不得在该平台进行的政府采购项目电子交易中投标、响应政府采购项目。</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3.投标人投标所使用的资格、信誉、荣誉、业绩与企业认证必须为本法人所拥有。投标人投标所使用的采购项目实施人员必须为本法人员工（或必须为本法人或控股公司正式员工）。</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4.投标人应仔细阅读招标文件的所有内容，按照招标文件的要求提交投标文件。投标人必须对投标文件所提供的全部资料的真实性承担法律责任，并无条件接受采购代理机构、采购人及政府采购监督管理部门等对其中任何资料进行核实的要求。</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投标人在投标活动中提供任何虚假材料，其投标无效，并报监管部门查处中标后发现的，中标人须依照《中华人民共和国消费者权益保护法》第49条之规定双倍赔偿采购人，且民事赔偿并不免除违法投标人的行政与刑事责任。</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（十一）质疑和投诉</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1.投标人认为招标文件、招标过程或中标结果使自己的合法权益受到损害的，应当在知道或者应知其权益受到损害之日起七个工作日内，以书面形式向采购人、采购代理机构提出质疑。投标人对招标采购单位的质疑答复不满意或者招标采购单位未在规定时间内作出答复的，可以在答复期满后十五个工作日内向同级采购监管部门投诉。</w:t>
      </w:r>
    </w:p>
    <w:p>
      <w:pPr>
        <w:autoSpaceDE/>
        <w:autoSpaceDN/>
        <w:adjustRightInd/>
        <w:spacing w:line="460" w:lineRule="exact"/>
        <w:ind w:firstLine="420" w:firstLineChars="200"/>
        <w:jc w:val="both"/>
        <w:rPr>
          <w:rFonts w:hAnsi="宋体" w:cs="宋体"/>
          <w:sz w:val="21"/>
          <w:szCs w:val="21"/>
          <w:highlight w:val="none"/>
          <w:lang w:eastAsia="zh-TW"/>
        </w:rPr>
      </w:pPr>
      <w:r>
        <w:rPr>
          <w:rFonts w:hint="eastAsia" w:hAnsi="宋体" w:cs="宋体"/>
          <w:sz w:val="21"/>
          <w:szCs w:val="21"/>
          <w:highlight w:val="none"/>
        </w:rPr>
        <w:t>2.质疑、投诉应当符合中华人民共和国财政部令第94号《政府采购质疑和投诉办法》的规定，并分别采用财政部发布的《政府采购供应商质疑函范本》和《政府采购供应商投诉书范本》等书面形式，质疑书、投诉书均应明确阐述招标文件、招标过程或中标结果中使自己合法权益受到损害的实质性内容，提供相关事实、依据和证据及其来源或线索，便于有关单位调查、答复和处理。</w:t>
      </w:r>
      <w:r>
        <w:rPr>
          <w:rFonts w:hint="eastAsia" w:hAnsi="宋体" w:cs="宋体"/>
          <w:bCs/>
          <w:sz w:val="21"/>
          <w:szCs w:val="21"/>
          <w:highlight w:val="none"/>
        </w:rPr>
        <w:t>质疑函范本、投诉书范本请到浙江政府采购网下载专区下载。</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w:t>
      </w:r>
      <w:r>
        <w:rPr>
          <w:rFonts w:hint="eastAsia" w:hAnsi="宋体" w:cs="宋体"/>
          <w:sz w:val="21"/>
          <w:szCs w:val="21"/>
          <w:highlight w:val="none"/>
          <w:lang w:val="zh-CN"/>
        </w:rPr>
        <w:t>投标人须在法定质疑期内一次性提出针对同一采购程序环节的质疑。未按上述要求提供的质疑函，采购代理机构有权不予受理。</w:t>
      </w:r>
    </w:p>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二、招标文件</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（一）招标文件的构成。本招标文件由以下部份组成：</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1.招标公告</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2.招标需求</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3.投标人须知</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4.评标办法及标准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5.合同主要条款</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6.投标文件格式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7.本项目招标文件的澄清、答复、修改、补充的内容（如有）</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（二）投标人的风险</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投标人没有按照招标文件要求提供全部资料，或者投标人没有对招标文件在各方面作出实质性响应是投标人的风险，并可能导致其投标被拒绝。</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采购人、采购代理机构不保证所有已完成报名的投标人都符合资格要求。</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（三）招标文件的澄清与修改</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1.投标人应认真阅读本招标文件，发现其中有误或有不合理要求的，应当自知道或者应知其权益受到损害之日起七个工作日内，以书面形式要求招标采购单位作出书面解释、澄清或者向招标采购单位提出书面质疑；招标采购单位对已发出的招标文件进行必要澄清、答复、修改或补充的，在财政部门指定的政府采购信息发布媒体上发布更正公告，并以书面形式通知所有招标文件收受人。澄清或者修改的内容可能影响投标文件编制的，应当在投标截止时间至少15日前，以书面形式通知所有获取招标文件的潜在投标人；不足15日的，顺延提交投标文件的截止时间。</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2.采购代理机构必须以书面形式答复投标人要求澄清的问题，并将不包含问题来源的答复书面通知所有购买招标文件的投标人，除书面答复以外的其他澄清方式及澄清内容均无效。</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3.招标文件澄清、答复、修改、补充的内容为招标文件的组成部分。当招标文件与招标文件的答复、澄清、修改、补充通知就同一内容的表述不一致时，以最后发出的书面文件为准。</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4.招标文件的澄清、答复、修改或补充都应该通过本代理机构以法定形式发布，采购人非通过本机构，不得擅自澄清、答复、修改或补充招标文件。</w:t>
      </w:r>
    </w:p>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三、投标文件的编制</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注：投标人应保证所提供文件资料的真实性，所有文件资料必须是针对本次投标的。如发现投标人提供了虚假文件资料，其投标将被拒绝，并自行承担相应的法律责任。</w:t>
      </w:r>
    </w:p>
    <w:p>
      <w:pPr>
        <w:tabs>
          <w:tab w:val="left" w:pos="6955"/>
        </w:tabs>
        <w:snapToGrid w:val="0"/>
        <w:spacing w:line="500" w:lineRule="exact"/>
        <w:ind w:firstLine="422" w:firstLineChars="200"/>
        <w:outlineLvl w:val="0"/>
        <w:rPr>
          <w:rFonts w:hAnsi="宋体" w:cs="宋体"/>
          <w:b/>
          <w:sz w:val="21"/>
          <w:szCs w:val="21"/>
          <w:highlight w:val="none"/>
        </w:rPr>
      </w:pPr>
      <w:r>
        <w:rPr>
          <w:rFonts w:hint="eastAsia" w:hAnsi="宋体" w:cs="宋体"/>
          <w:b/>
          <w:sz w:val="21"/>
          <w:szCs w:val="21"/>
          <w:highlight w:val="none"/>
        </w:rPr>
        <w:t>（一）投标文件的形式</w:t>
      </w:r>
      <w:r>
        <w:rPr>
          <w:rFonts w:hint="eastAsia" w:hAnsi="宋体" w:cs="宋体"/>
          <w:b/>
          <w:sz w:val="21"/>
          <w:szCs w:val="21"/>
          <w:highlight w:val="none"/>
        </w:rPr>
        <w:tab/>
      </w:r>
    </w:p>
    <w:p>
      <w:pPr>
        <w:snapToGrid w:val="0"/>
        <w:spacing w:line="500" w:lineRule="exact"/>
        <w:ind w:firstLine="422" w:firstLineChars="200"/>
        <w:outlineLvl w:val="0"/>
        <w:rPr>
          <w:rFonts w:hAnsi="宋体" w:cs="宋体"/>
          <w:b/>
          <w:sz w:val="21"/>
          <w:szCs w:val="21"/>
          <w:highlight w:val="none"/>
        </w:rPr>
      </w:pPr>
      <w:r>
        <w:rPr>
          <w:rFonts w:hint="eastAsia" w:hAnsi="宋体" w:cs="宋体"/>
          <w:b/>
          <w:sz w:val="21"/>
          <w:szCs w:val="21"/>
          <w:highlight w:val="none"/>
        </w:rPr>
        <w:t>投标文件为电子投标文件。</w:t>
      </w:r>
    </w:p>
    <w:p>
      <w:pPr>
        <w:wordWrap w:val="0"/>
        <w:snapToGrid w:val="0"/>
        <w:spacing w:line="460" w:lineRule="exact"/>
        <w:ind w:firstLine="422" w:firstLineChars="200"/>
        <w:outlineLvl w:val="0"/>
        <w:rPr>
          <w:rFonts w:hAnsi="宋体" w:cs="宋体"/>
          <w:b/>
          <w:sz w:val="21"/>
          <w:szCs w:val="21"/>
          <w:highlight w:val="none"/>
        </w:rPr>
      </w:pPr>
      <w:bookmarkStart w:id="45" w:name="_Toc1321"/>
      <w:r>
        <w:rPr>
          <w:rFonts w:hint="eastAsia" w:hAnsi="宋体" w:cs="宋体"/>
          <w:b/>
          <w:sz w:val="21"/>
          <w:szCs w:val="21"/>
          <w:highlight w:val="none"/>
        </w:rPr>
        <w:t>电子投标文件：电子投标文件按政采云平台供应商项目采购-电子交易操作指南（https://edu.zcygov.cn/luban/e-biding?utm=a0004.2ef5001f.0001.0109.da8b35e0da8611e98d8937b7ef8a3544）及本招标文件要求制作、加密并递交</w:t>
      </w:r>
      <w:bookmarkEnd w:id="45"/>
      <w:r>
        <w:rPr>
          <w:rFonts w:hint="eastAsia" w:hAnsi="宋体" w:cs="宋体"/>
          <w:b/>
          <w:sz w:val="21"/>
          <w:szCs w:val="21"/>
          <w:highlight w:val="none"/>
        </w:rPr>
        <w:t>。</w:t>
      </w:r>
    </w:p>
    <w:p>
      <w:pPr>
        <w:snapToGrid w:val="0"/>
        <w:spacing w:line="500" w:lineRule="exact"/>
        <w:ind w:firstLine="422" w:firstLineChars="200"/>
        <w:outlineLvl w:val="0"/>
        <w:rPr>
          <w:rFonts w:hAnsi="宋体" w:cs="宋体"/>
          <w:b/>
          <w:sz w:val="21"/>
          <w:szCs w:val="21"/>
          <w:highlight w:val="none"/>
        </w:rPr>
      </w:pPr>
      <w:r>
        <w:rPr>
          <w:rFonts w:hint="eastAsia" w:hAnsi="宋体" w:cs="宋体"/>
          <w:b/>
          <w:sz w:val="21"/>
          <w:szCs w:val="21"/>
          <w:highlight w:val="none"/>
        </w:rPr>
        <w:t>（二）投标文件的组成</w:t>
      </w:r>
    </w:p>
    <w:p>
      <w:pPr>
        <w:snapToGrid w:val="0"/>
        <w:spacing w:line="500" w:lineRule="exact"/>
        <w:ind w:firstLine="422" w:firstLineChars="200"/>
        <w:outlineLvl w:val="0"/>
        <w:rPr>
          <w:rFonts w:hAnsi="宋体" w:cs="宋体"/>
          <w:b/>
          <w:sz w:val="21"/>
          <w:szCs w:val="21"/>
          <w:highlight w:val="none"/>
        </w:rPr>
      </w:pPr>
      <w:r>
        <w:rPr>
          <w:rFonts w:hint="eastAsia" w:hAnsi="宋体" w:cs="宋体"/>
          <w:b/>
          <w:sz w:val="21"/>
          <w:szCs w:val="21"/>
          <w:highlight w:val="none"/>
        </w:rPr>
        <w:t>投标文件（电子投标文件）由资格文件、商务技术文件和报价文件三部份组成。</w:t>
      </w:r>
    </w:p>
    <w:p>
      <w:pPr>
        <w:snapToGrid w:val="0"/>
        <w:spacing w:line="500" w:lineRule="exact"/>
        <w:ind w:firstLine="422" w:firstLineChars="200"/>
        <w:outlineLvl w:val="0"/>
        <w:rPr>
          <w:rFonts w:hAnsi="宋体" w:cs="宋体"/>
          <w:sz w:val="21"/>
          <w:szCs w:val="21"/>
          <w:highlight w:val="none"/>
        </w:rPr>
      </w:pPr>
      <w:r>
        <w:rPr>
          <w:rFonts w:hint="eastAsia" w:hAnsi="宋体" w:cs="宋体"/>
          <w:b/>
          <w:sz w:val="21"/>
          <w:szCs w:val="21"/>
          <w:highlight w:val="none"/>
        </w:rPr>
        <w:t>注：本项目投标价格的信息只允许出现在“报价文件”中，不得出现在资格文件、商务技术文件中。</w:t>
      </w:r>
    </w:p>
    <w:p>
      <w:pPr>
        <w:snapToGrid w:val="0"/>
        <w:spacing w:line="500" w:lineRule="exact"/>
        <w:ind w:firstLine="422" w:firstLineChars="200"/>
        <w:textAlignment w:val="bottom"/>
        <w:rPr>
          <w:rFonts w:hAnsi="宋体" w:cs="宋体"/>
          <w:b/>
          <w:sz w:val="21"/>
          <w:szCs w:val="21"/>
          <w:highlight w:val="none"/>
        </w:rPr>
      </w:pPr>
      <w:r>
        <w:rPr>
          <w:rFonts w:hint="eastAsia" w:hAnsi="宋体" w:cs="宋体"/>
          <w:b/>
          <w:sz w:val="21"/>
          <w:szCs w:val="21"/>
          <w:highlight w:val="none"/>
        </w:rPr>
        <w:t>1.资格文件部分</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（1）投标人有效期内的营业执照及其他相关资质证书（复印件加盖有效公章）；</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（2）投标人法定代表人授权委托书(格式见附件，如法定代表人本人参加的，则提供法定代表人身份证明及法定代表人身份证复印件)；</w:t>
      </w:r>
    </w:p>
    <w:p>
      <w:pPr>
        <w:widowControl/>
        <w:autoSpaceDE/>
        <w:autoSpaceDN/>
        <w:snapToGrid w:val="0"/>
        <w:spacing w:line="500" w:lineRule="exact"/>
        <w:ind w:firstLine="420" w:firstLineChars="200"/>
        <w:rPr>
          <w:rFonts w:hAnsi="宋体" w:cs="宋体"/>
          <w:color w:val="000000"/>
          <w:sz w:val="21"/>
          <w:szCs w:val="21"/>
          <w:highlight w:val="none"/>
        </w:rPr>
      </w:pPr>
      <w:r>
        <w:rPr>
          <w:rFonts w:hint="eastAsia" w:hAnsi="宋体" w:cs="宋体"/>
          <w:color w:val="000000"/>
          <w:sz w:val="21"/>
          <w:szCs w:val="21"/>
          <w:highlight w:val="none"/>
        </w:rPr>
        <w:t>（3）符合参加政府采购活动应当具备的一般条件的承诺函（格式见附件）；</w:t>
      </w:r>
    </w:p>
    <w:p>
      <w:pPr>
        <w:snapToGrid w:val="0"/>
        <w:spacing w:line="500" w:lineRule="exact"/>
        <w:ind w:firstLine="420" w:firstLineChars="200"/>
        <w:rPr>
          <w:rFonts w:hAnsi="宋体" w:cs="宋体"/>
          <w:sz w:val="21"/>
          <w:szCs w:val="21"/>
          <w:highlight w:val="none"/>
        </w:rPr>
      </w:pPr>
      <w:r>
        <w:rPr>
          <w:rFonts w:hint="eastAsia" w:hAnsi="宋体" w:cs="宋体"/>
          <w:color w:val="000000"/>
          <w:sz w:val="21"/>
          <w:szCs w:val="21"/>
          <w:highlight w:val="none"/>
        </w:rPr>
        <w:t>（4）本项目的特定资格要求（格式见附件）</w:t>
      </w:r>
      <w:r>
        <w:rPr>
          <w:rFonts w:hint="eastAsia" w:hAnsi="宋体" w:cs="宋体"/>
          <w:sz w:val="21"/>
          <w:szCs w:val="21"/>
          <w:highlight w:val="none"/>
        </w:rPr>
        <w:t>。</w:t>
      </w:r>
    </w:p>
    <w:p>
      <w:pPr>
        <w:autoSpaceDE/>
        <w:autoSpaceDN/>
        <w:snapToGrid w:val="0"/>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2.</w:t>
      </w:r>
      <w:r>
        <w:rPr>
          <w:rFonts w:hint="eastAsia" w:hAnsi="宋体" w:cs="宋体"/>
          <w:b/>
          <w:bCs/>
          <w:sz w:val="21"/>
          <w:szCs w:val="21"/>
          <w:highlight w:val="none"/>
        </w:rPr>
        <w:t>商务技术文件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（1）投标人技术商务标自评得分汇总表；（格式见附件）；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（2）投标人情况表（格式见附件）；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（3）投标人相关资质证书及获得的相关荣誉证书（扫描件或复印件加盖单位公章）；</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（4）投标人2019年1月1日以来类似案例成功的业绩（须提供对应采购合同复印件/扫描件等相关资料）（加盖公章）（格式见附件）；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（5）拟投入本项目的服务人员配置表（格式见附件）；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（6）商务技术偏离表（格式见附件）；</w:t>
      </w:r>
    </w:p>
    <w:p>
      <w:pPr>
        <w:autoSpaceDE/>
        <w:autoSpaceDN/>
        <w:adjustRightInd/>
        <w:spacing w:line="500" w:lineRule="exact"/>
        <w:ind w:firstLine="420" w:firstLineChars="200"/>
        <w:jc w:val="both"/>
        <w:rPr>
          <w:rFonts w:hAnsi="宋体" w:cs="Arial"/>
          <w:sz w:val="21"/>
          <w:szCs w:val="21"/>
          <w:highlight w:val="none"/>
        </w:rPr>
      </w:pPr>
      <w:r>
        <w:rPr>
          <w:rFonts w:hint="eastAsia" w:hAnsi="宋体" w:cs="Arial"/>
          <w:sz w:val="21"/>
          <w:szCs w:val="21"/>
          <w:highlight w:val="none"/>
        </w:rPr>
        <w:t>（7）设备（或产品）配置清单（格式见附件），列出详细规格型号、产品出厂标准、质量检测报告、主要技术、配置、性能、特点和质量水平的详细描述（应包括主要部件、零部件配置清单、来源、产地、规格及其参数、承诺和保证说明等）及产品样本图册或彩页(数量自定)</w:t>
      </w:r>
    </w:p>
    <w:p>
      <w:pPr>
        <w:autoSpaceDE/>
        <w:autoSpaceDN/>
        <w:adjustRightInd/>
        <w:spacing w:line="500" w:lineRule="exact"/>
        <w:ind w:firstLine="420" w:firstLineChars="200"/>
        <w:jc w:val="both"/>
        <w:rPr>
          <w:rFonts w:hAnsi="宋体" w:cs="Arial"/>
          <w:sz w:val="21"/>
          <w:szCs w:val="21"/>
          <w:highlight w:val="none"/>
        </w:rPr>
      </w:pPr>
      <w:r>
        <w:rPr>
          <w:rFonts w:hint="eastAsia" w:hAnsi="宋体" w:cs="Arial"/>
          <w:sz w:val="21"/>
          <w:szCs w:val="21"/>
          <w:highlight w:val="none"/>
        </w:rPr>
        <w:t>（8）技术响应表（格式见附件）；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（9）针对本项目的服务方案（格式自拟）；</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（10）投标人需要说明的其他文件和说明（格式略）。</w:t>
      </w:r>
    </w:p>
    <w:p>
      <w:pPr>
        <w:autoSpaceDE/>
        <w:autoSpaceDN/>
        <w:snapToGrid w:val="0"/>
        <w:spacing w:line="500" w:lineRule="exact"/>
        <w:ind w:firstLine="420" w:firstLineChars="200"/>
        <w:jc w:val="both"/>
        <w:rPr>
          <w:rFonts w:hAnsi="宋体" w:cs="宋体"/>
          <w:b/>
          <w:sz w:val="21"/>
          <w:szCs w:val="21"/>
          <w:highlight w:val="none"/>
        </w:rPr>
      </w:pPr>
      <w:r>
        <w:rPr>
          <w:rFonts w:hint="eastAsia" w:hAnsi="宋体" w:cs="宋体"/>
          <w:bCs/>
          <w:sz w:val="21"/>
          <w:szCs w:val="21"/>
          <w:highlight w:val="none"/>
        </w:rPr>
        <w:t>★</w:t>
      </w:r>
      <w:r>
        <w:rPr>
          <w:rFonts w:hint="eastAsia" w:hAnsi="宋体" w:cs="宋体"/>
          <w:b/>
          <w:sz w:val="21"/>
          <w:szCs w:val="21"/>
          <w:highlight w:val="none"/>
        </w:rPr>
        <w:t>注：资格文件、</w:t>
      </w:r>
      <w:r>
        <w:rPr>
          <w:rFonts w:hint="eastAsia" w:hAnsi="宋体" w:cs="宋体"/>
          <w:b/>
          <w:bCs/>
          <w:sz w:val="21"/>
          <w:szCs w:val="21"/>
          <w:highlight w:val="none"/>
        </w:rPr>
        <w:t>商务技术标</w:t>
      </w:r>
      <w:r>
        <w:rPr>
          <w:rFonts w:hint="eastAsia" w:hAnsi="宋体" w:cs="宋体"/>
          <w:b/>
          <w:sz w:val="21"/>
          <w:szCs w:val="21"/>
          <w:highlight w:val="none"/>
        </w:rPr>
        <w:t>中不得含有报价的信息，否则按废标处理。</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3.报价文件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（1）投标函（格式见附件）；</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w:t>
      </w:r>
      <w:r>
        <w:rPr>
          <w:rFonts w:hint="eastAsia" w:hAnsi="宋体" w:cs="宋体"/>
          <w:sz w:val="21"/>
          <w:szCs w:val="21"/>
          <w:highlight w:val="none"/>
          <w:lang w:eastAsia="zh-CN"/>
        </w:rPr>
        <w:t>开标（报价）一览表</w:t>
      </w:r>
      <w:r>
        <w:rPr>
          <w:rFonts w:hint="eastAsia" w:hAnsi="宋体" w:cs="宋体"/>
          <w:sz w:val="21"/>
          <w:szCs w:val="21"/>
          <w:highlight w:val="none"/>
        </w:rPr>
        <w:t>（格式见附件）；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（3）《中小企业声明函》（如有）；（本项目采购标的对应的中小企业划分标准所属行业为“软件和信息技术服务业”；格式见附件，如未提供的，评审时不给予政策性价格扣除）；</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（4）投标人针对报价需要说明的其他文件和说明（格式自拟）。</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（三）投标文件的语言及计量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1.投标文件以及投标人与采购人就有关投标事宜的所有来往函电，均应以中文汉语书写。除签名、盖章、专用名称等特殊情形外，以中文汉语以外的文字表述的投标文件视同未提供。</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2.投标计量单位，招标文件已有明确规定的，使用招标文件规定的计量单位。招标文件没有规定的，应采用中华人民共和国法定计量单位（货币单位：人民币元），否则视同未响应。</w:t>
      </w:r>
    </w:p>
    <w:p>
      <w:pPr>
        <w:autoSpaceDE/>
        <w:autoSpaceDN/>
        <w:adjustRightInd/>
        <w:snapToGrid w:val="0"/>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（四）投标报价</w:t>
      </w:r>
    </w:p>
    <w:p>
      <w:pPr>
        <w:autoSpaceDE/>
        <w:autoSpaceDN/>
        <w:adjustRightInd/>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1.投标报价应按招标文件中相关附表格式填写。</w:t>
      </w:r>
    </w:p>
    <w:p>
      <w:pPr>
        <w:autoSpaceDE/>
        <w:autoSpaceDN/>
        <w:adjustRightInd/>
        <w:snapToGrid w:val="0"/>
        <w:spacing w:line="500" w:lineRule="exact"/>
        <w:ind w:firstLine="420" w:firstLineChars="200"/>
        <w:jc w:val="both"/>
        <w:rPr>
          <w:rFonts w:hAnsi="宋体" w:cs="宋体"/>
          <w:bCs/>
          <w:sz w:val="21"/>
          <w:szCs w:val="21"/>
          <w:highlight w:val="none"/>
        </w:rPr>
      </w:pPr>
      <w:r>
        <w:rPr>
          <w:rFonts w:hint="eastAsia" w:hAnsi="宋体" w:cs="宋体"/>
          <w:bCs/>
          <w:sz w:val="21"/>
          <w:szCs w:val="21"/>
          <w:highlight w:val="none"/>
        </w:rPr>
        <w:t>★</w:t>
      </w:r>
      <w:r>
        <w:rPr>
          <w:rFonts w:hint="eastAsia" w:hAnsi="宋体" w:cs="宋体"/>
          <w:b/>
          <w:bCs/>
          <w:sz w:val="21"/>
          <w:szCs w:val="21"/>
          <w:highlight w:val="none"/>
        </w:rPr>
        <w:t>2.</w:t>
      </w:r>
      <w:r>
        <w:rPr>
          <w:rFonts w:hint="eastAsia" w:hAnsi="宋体" w:cs="宋体"/>
          <w:sz w:val="21"/>
          <w:szCs w:val="21"/>
          <w:highlight w:val="none"/>
        </w:rPr>
        <w:t>本项目投标报价应以人民币为结算货币。投标报价是履行合同的结算依据，须包括设备添加、设备更换、维修维护、安装、调试、光纤、系统集成、升级操作系统、备品备件、专用工具、保险、培训、</w:t>
      </w:r>
      <w:r>
        <w:rPr>
          <w:rFonts w:hint="eastAsia" w:hAnsi="宋体" w:cs="仿宋_GB2312"/>
          <w:sz w:val="21"/>
          <w:szCs w:val="21"/>
          <w:highlight w:val="none"/>
        </w:rPr>
        <w:t>税费和</w:t>
      </w:r>
      <w:r>
        <w:rPr>
          <w:rFonts w:hint="eastAsia" w:hAnsi="宋体" w:cs="宋体"/>
          <w:sz w:val="21"/>
          <w:szCs w:val="21"/>
          <w:highlight w:val="none"/>
        </w:rPr>
        <w:t>采购代理服务费等与执行本项目相关的全部费用和合理利润；</w:t>
      </w:r>
      <w:r>
        <w:rPr>
          <w:rFonts w:hint="eastAsia" w:hAnsi="宋体"/>
          <w:sz w:val="21"/>
          <w:szCs w:val="21"/>
          <w:highlight w:val="none"/>
        </w:rPr>
        <w:t>除政策性文件规定以外，投标人的报价在合同实施期间不因市场变化因素而变动。</w:t>
      </w:r>
      <w:r>
        <w:rPr>
          <w:rFonts w:hint="eastAsia" w:hAnsi="宋体" w:cs="宋体"/>
          <w:sz w:val="21"/>
          <w:szCs w:val="21"/>
          <w:highlight w:val="none"/>
        </w:rPr>
        <w:t>结算时，中标人须随付款进度提供正式税务发票。</w:t>
      </w:r>
    </w:p>
    <w:p>
      <w:pPr>
        <w:autoSpaceDE/>
        <w:autoSpaceDN/>
        <w:adjustRightInd/>
        <w:snapToGrid w:val="0"/>
        <w:spacing w:line="500" w:lineRule="exact"/>
        <w:ind w:firstLine="420" w:firstLineChars="200"/>
        <w:jc w:val="both"/>
        <w:rPr>
          <w:rFonts w:hAnsi="宋体" w:cs="宋体"/>
          <w:sz w:val="21"/>
          <w:szCs w:val="21"/>
          <w:highlight w:val="none"/>
        </w:rPr>
      </w:pPr>
      <w:r>
        <w:rPr>
          <w:rFonts w:hint="eastAsia" w:hAnsi="宋体" w:cs="宋体"/>
          <w:bCs/>
          <w:sz w:val="21"/>
          <w:szCs w:val="21"/>
          <w:highlight w:val="none"/>
        </w:rPr>
        <w:t>★</w:t>
      </w:r>
      <w:r>
        <w:rPr>
          <w:rFonts w:hint="eastAsia" w:hAnsi="宋体" w:cs="宋体"/>
          <w:sz w:val="21"/>
          <w:szCs w:val="21"/>
          <w:highlight w:val="none"/>
        </w:rPr>
        <w:t>3.投标文件只允许有一个报价，有选择的或有条件的报价将不予接受。</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4.本项目设有最高限价（即预算金额</w:t>
      </w:r>
      <w:r>
        <w:rPr>
          <w:rFonts w:hint="eastAsia" w:hAnsi="宋体" w:cs="宋体"/>
          <w:sz w:val="21"/>
          <w:szCs w:val="21"/>
          <w:highlight w:val="none"/>
          <w:lang w:eastAsia="zh-CN"/>
        </w:rPr>
        <w:t>220万元</w:t>
      </w:r>
      <w:r>
        <w:rPr>
          <w:rFonts w:hint="eastAsia" w:hAnsi="宋体" w:cs="宋体"/>
          <w:sz w:val="21"/>
          <w:szCs w:val="21"/>
          <w:highlight w:val="none"/>
        </w:rPr>
        <w:t>），投标报价不得高于最高限价，否则作为无效标处理。</w:t>
      </w:r>
    </w:p>
    <w:p>
      <w:pPr>
        <w:pStyle w:val="2"/>
        <w:snapToGrid w:val="0"/>
        <w:spacing w:after="0" w:line="500" w:lineRule="exact"/>
        <w:ind w:left="0" w:leftChars="0" w:firstLine="422" w:firstLineChars="200"/>
        <w:rPr>
          <w:rFonts w:ascii="宋体" w:hAnsi="宋体" w:cs="宋体"/>
          <w:b/>
          <w:sz w:val="21"/>
          <w:szCs w:val="21"/>
          <w:highlight w:val="none"/>
        </w:rPr>
      </w:pPr>
      <w:r>
        <w:rPr>
          <w:rFonts w:hint="eastAsia" w:ascii="宋体" w:hAnsi="宋体" w:cs="宋体"/>
          <w:b/>
          <w:sz w:val="21"/>
          <w:szCs w:val="21"/>
          <w:highlight w:val="none"/>
        </w:rPr>
        <w:t>（五）投标文件的有效期</w:t>
      </w:r>
    </w:p>
    <w:p>
      <w:pPr>
        <w:autoSpaceDE/>
        <w:autoSpaceDN/>
        <w:adjustRightInd/>
        <w:snapToGrid w:val="0"/>
        <w:spacing w:line="500" w:lineRule="exact"/>
        <w:ind w:firstLine="420" w:firstLineChars="200"/>
        <w:jc w:val="both"/>
        <w:rPr>
          <w:rFonts w:hAnsi="宋体" w:cs="宋体"/>
          <w:sz w:val="21"/>
          <w:szCs w:val="21"/>
          <w:highlight w:val="none"/>
        </w:rPr>
      </w:pPr>
      <w:r>
        <w:rPr>
          <w:rFonts w:hint="eastAsia" w:hAnsi="宋体" w:cs="宋体"/>
          <w:bCs/>
          <w:sz w:val="21"/>
          <w:szCs w:val="21"/>
          <w:highlight w:val="none"/>
        </w:rPr>
        <w:t>★</w:t>
      </w:r>
      <w:r>
        <w:rPr>
          <w:rFonts w:hint="eastAsia" w:hAnsi="宋体" w:cs="宋体"/>
          <w:sz w:val="21"/>
          <w:szCs w:val="21"/>
          <w:highlight w:val="none"/>
        </w:rPr>
        <w:t>1.自投标截止日起90天投标文件应保持有效。有效期不足的投标文件将被拒绝。</w:t>
      </w:r>
    </w:p>
    <w:p>
      <w:pPr>
        <w:autoSpaceDE/>
        <w:autoSpaceDN/>
        <w:adjustRightInd/>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2.在特殊情况下，采购人可与投标人协商延长投标书的有效期，这种要求和答复均以书面形式进行。</w:t>
      </w:r>
    </w:p>
    <w:p>
      <w:pPr>
        <w:spacing w:line="500" w:lineRule="exact"/>
        <w:ind w:firstLine="420" w:firstLineChars="200"/>
        <w:rPr>
          <w:rFonts w:hAnsi="宋体" w:cs="宋体"/>
          <w:highlight w:val="none"/>
        </w:rPr>
      </w:pPr>
      <w:r>
        <w:rPr>
          <w:rFonts w:hint="eastAsia" w:hAnsi="宋体" w:cs="宋体"/>
          <w:sz w:val="21"/>
          <w:szCs w:val="21"/>
          <w:highlight w:val="none"/>
        </w:rPr>
        <w:t>3.投标人可拒绝接受延期要求。同意延长有效期的，不能以此为由修改投标文件。</w:t>
      </w:r>
    </w:p>
    <w:p>
      <w:pPr>
        <w:autoSpaceDE/>
        <w:autoSpaceDN/>
        <w:adjustRightInd/>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4.中标人的投标文件自开标之日起至合同履行完毕止均应保持有效。</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（六）投标文件的签署和份数</w:t>
      </w:r>
    </w:p>
    <w:p>
      <w:pPr>
        <w:widowControl/>
        <w:snapToGrid w:val="0"/>
        <w:spacing w:line="460" w:lineRule="exact"/>
        <w:ind w:firstLine="420"/>
        <w:rPr>
          <w:rFonts w:hAnsi="宋体" w:cs="宋体"/>
          <w:sz w:val="21"/>
          <w:highlight w:val="none"/>
        </w:rPr>
      </w:pPr>
      <w:r>
        <w:rPr>
          <w:rFonts w:hint="eastAsia" w:hAnsi="宋体" w:cs="宋体"/>
          <w:sz w:val="21"/>
          <w:szCs w:val="24"/>
          <w:highlight w:val="none"/>
        </w:rPr>
        <w:t>1.</w:t>
      </w:r>
      <w:r>
        <w:rPr>
          <w:rFonts w:hint="eastAsia" w:hAnsi="宋体" w:cs="宋体"/>
          <w:sz w:val="21"/>
          <w:highlight w:val="none"/>
        </w:rPr>
        <w:t>电子投标文件部分：</w:t>
      </w:r>
    </w:p>
    <w:p>
      <w:pPr>
        <w:widowControl/>
        <w:snapToGrid w:val="0"/>
        <w:spacing w:line="460" w:lineRule="exact"/>
        <w:ind w:firstLine="420"/>
        <w:rPr>
          <w:rFonts w:hAnsi="宋体" w:cs="宋体"/>
          <w:sz w:val="21"/>
          <w:highlight w:val="none"/>
        </w:rPr>
      </w:pPr>
      <w:r>
        <w:rPr>
          <w:rFonts w:hint="eastAsia" w:hAnsi="宋体" w:cs="宋体"/>
          <w:sz w:val="21"/>
          <w:highlight w:val="none"/>
        </w:rPr>
        <w:t>投标人应根据“政采云供应商项目采购-电子交易操作指南”及本招标文件规定的格式和顺序编制电子投标文件并进行关联定位。</w:t>
      </w:r>
    </w:p>
    <w:p>
      <w:pPr>
        <w:widowControl/>
        <w:autoSpaceDE/>
        <w:autoSpaceDN/>
        <w:adjustRightInd/>
        <w:snapToGrid w:val="0"/>
        <w:spacing w:line="500" w:lineRule="exact"/>
        <w:ind w:firstLine="420" w:firstLineChars="200"/>
        <w:rPr>
          <w:rFonts w:hAnsi="宋体" w:cs="宋体"/>
          <w:sz w:val="21"/>
          <w:highlight w:val="none"/>
        </w:rPr>
      </w:pPr>
      <w:r>
        <w:rPr>
          <w:rFonts w:hint="eastAsia" w:hAnsi="宋体" w:cs="宋体"/>
          <w:sz w:val="21"/>
          <w:highlight w:val="none"/>
        </w:rPr>
        <w:t>2.投标文件的盖章：投标文件中所涉及的加盖公章均可采用CA电子签章，或投标单位可以线下盖章后扫描上传。联合体投标的，投标文件须由联合体牵头人在规定位置盖章（除采购文件中有特殊要求的，以具体约定为准）。</w:t>
      </w:r>
    </w:p>
    <w:p>
      <w:pPr>
        <w:widowControl/>
        <w:snapToGrid w:val="0"/>
        <w:spacing w:line="460" w:lineRule="exact"/>
        <w:ind w:firstLine="420"/>
        <w:rPr>
          <w:rFonts w:hAnsi="宋体" w:cs="宋体"/>
          <w:sz w:val="21"/>
          <w:highlight w:val="none"/>
        </w:rPr>
      </w:pPr>
      <w:r>
        <w:rPr>
          <w:rFonts w:hint="eastAsia" w:hAnsi="宋体" w:cs="宋体"/>
          <w:sz w:val="21"/>
          <w:highlight w:val="none"/>
        </w:rPr>
        <w:t>3.法定代表人或其授权代表签字或盖章：本招标文件所涉及的法定代表人或其授权代表签字或盖章的内容，投标单位可采用投标人法定代表人电子签章，也可以线下签字或盖章后扫描上传。</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（七）投标文件的包装、递交、修改和撤回</w:t>
      </w:r>
    </w:p>
    <w:p>
      <w:pPr>
        <w:widowControl/>
        <w:autoSpaceDE/>
        <w:autoSpaceDN/>
        <w:adjustRightInd/>
        <w:snapToGrid w:val="0"/>
        <w:spacing w:line="460" w:lineRule="exact"/>
        <w:ind w:firstLine="420"/>
        <w:jc w:val="both"/>
        <w:rPr>
          <w:rFonts w:hAnsi="宋体" w:cs="宋体"/>
          <w:b/>
          <w:bCs/>
          <w:sz w:val="21"/>
          <w:szCs w:val="21"/>
          <w:highlight w:val="none"/>
        </w:rPr>
      </w:pPr>
      <w:r>
        <w:rPr>
          <w:rFonts w:hint="eastAsia" w:hAnsi="宋体" w:cs="宋体"/>
          <w:b/>
          <w:bCs/>
          <w:sz w:val="21"/>
          <w:szCs w:val="21"/>
          <w:highlight w:val="none"/>
        </w:rPr>
        <w:t>1．投标人应当在投标截止时间前在“政采云”（</w:t>
      </w:r>
      <w:r>
        <w:rPr>
          <w:rFonts w:hint="eastAsia" w:hAnsi="宋体" w:cs="宋体"/>
          <w:sz w:val="21"/>
          <w:szCs w:val="21"/>
          <w:highlight w:val="none"/>
          <w:shd w:val="clear" w:color="auto" w:fill="FFFFFF"/>
        </w:rPr>
        <w:t xml:space="preserve"> 电子交易客户端</w:t>
      </w:r>
      <w:r>
        <w:rPr>
          <w:rFonts w:hint="eastAsia" w:hAnsi="宋体" w:cs="宋体"/>
          <w:b/>
          <w:bCs/>
          <w:sz w:val="21"/>
          <w:szCs w:val="21"/>
          <w:highlight w:val="none"/>
        </w:rPr>
        <w:t>）上自行上传加密的电子投标文件。</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bCs/>
          <w:sz w:val="21"/>
          <w:szCs w:val="21"/>
          <w:highlight w:val="none"/>
        </w:rPr>
        <w:t>★</w:t>
      </w:r>
      <w:r>
        <w:rPr>
          <w:rFonts w:hint="eastAsia" w:hAnsi="宋体" w:cs="宋体"/>
          <w:sz w:val="21"/>
          <w:szCs w:val="21"/>
          <w:highlight w:val="none"/>
        </w:rPr>
        <w:t>2.投标人未在“政采云”（</w:t>
      </w:r>
      <w:r>
        <w:rPr>
          <w:rFonts w:hint="eastAsia" w:hAnsi="宋体" w:cs="宋体"/>
          <w:sz w:val="21"/>
          <w:szCs w:val="21"/>
          <w:highlight w:val="none"/>
          <w:shd w:val="clear" w:color="auto" w:fill="FFFFFF"/>
        </w:rPr>
        <w:t xml:space="preserve"> 电子交易客户端</w:t>
      </w:r>
      <w:r>
        <w:rPr>
          <w:rFonts w:hint="eastAsia" w:hAnsi="宋体" w:cs="宋体"/>
          <w:sz w:val="21"/>
          <w:szCs w:val="21"/>
          <w:highlight w:val="none"/>
        </w:rPr>
        <w:t>）上自行上传加密的电子投标文件的，投标无效。</w:t>
      </w:r>
    </w:p>
    <w:p>
      <w:pPr>
        <w:autoSpaceDE/>
        <w:autoSpaceDN/>
        <w:adjustRightInd/>
        <w:spacing w:line="500" w:lineRule="exact"/>
        <w:ind w:firstLine="422" w:firstLineChars="200"/>
        <w:jc w:val="both"/>
        <w:rPr>
          <w:rFonts w:hAnsi="宋体" w:cs="宋体"/>
          <w:b/>
          <w:bCs/>
          <w:sz w:val="21"/>
          <w:szCs w:val="21"/>
          <w:highlight w:val="none"/>
        </w:rPr>
      </w:pPr>
      <w:r>
        <w:rPr>
          <w:rFonts w:hint="eastAsia" w:hAnsi="宋体" w:cs="宋体"/>
          <w:b/>
          <w:bCs/>
          <w:sz w:val="21"/>
          <w:szCs w:val="21"/>
          <w:highlight w:val="none"/>
        </w:rPr>
        <w:t>3.投标人应当在投标截止时间前完成电子投标文件的传输递交，并可以补充、修改或者撤回电子投标文件。补充或者修改电子投标文件的，应当先行撤回原文件，补充、修改后重新传输递交。投标截止时间前未完成传输的，视为撤回投标文件。投标、响应截止时间后送达的投标、响应文件，将被政采云平台拒收。</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4.截止开标时间，政采云（</w:t>
      </w:r>
      <w:r>
        <w:rPr>
          <w:rFonts w:hint="eastAsia" w:hAnsi="宋体" w:cs="宋体"/>
          <w:sz w:val="21"/>
          <w:szCs w:val="21"/>
          <w:highlight w:val="none"/>
          <w:shd w:val="clear" w:color="auto" w:fill="FFFFFF"/>
        </w:rPr>
        <w:t>电子交易客户端</w:t>
      </w:r>
      <w:r>
        <w:rPr>
          <w:rFonts w:hint="eastAsia" w:hAnsi="宋体" w:cs="宋体"/>
          <w:sz w:val="21"/>
          <w:szCs w:val="21"/>
          <w:highlight w:val="none"/>
        </w:rPr>
        <w:t>）自动提取所有投标文件，投标人须在解密时限内完成解密，解密时限由财政部门设置，投标人在规定的时间内都已解密完成，则系统自动结束解密，采购代理机构开启投标文件；投标人超过解密时限的，系统默认自动放弃。</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（八）投标无效的情形</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1.在符合性审查和商务评审时，如发现下列情形之一的，投标文件将被视为无效：</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（1）资格证明文件不全的，或者不符合招标文件标明的资格要求的；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（2）投标文件无投标人的法定代表人（或其授权代表）签字,或未提供法定代表人授权委托书或者填写项目不齐全的；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（3）投标代表人未能出具身份证明或与法定代表人授权委托人身份不符的；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（4）投标文件格式不规范、项目不齐全或者内容虚假的；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（5）投标文件的实质性内容未使用中文表述、意思表述不明确、前后矛盾或者使用计量单位不符合招标文件要求的（经评标委员会认定并允许其当场更正的笔误除外）；</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（6）</w:t>
      </w:r>
      <w:r>
        <w:rPr>
          <w:rFonts w:hint="eastAsia" w:hAnsi="宋体" w:cs="宋体"/>
          <w:sz w:val="21"/>
          <w:highlight w:val="none"/>
        </w:rPr>
        <w:t>投标有效期、服务时间、付款方式等商务条款不能满足招标文件要求的</w:t>
      </w:r>
      <w:r>
        <w:rPr>
          <w:rFonts w:hint="eastAsia" w:hAnsi="宋体" w:cs="宋体"/>
          <w:sz w:val="21"/>
          <w:szCs w:val="21"/>
          <w:highlight w:val="none"/>
        </w:rPr>
        <w:t>；</w:t>
      </w:r>
    </w:p>
    <w:p>
      <w:pPr>
        <w:widowControl/>
        <w:snapToGrid w:val="0"/>
        <w:spacing w:line="460" w:lineRule="exact"/>
        <w:ind w:firstLine="420"/>
        <w:rPr>
          <w:rFonts w:hAnsi="宋体" w:cs="宋体"/>
          <w:sz w:val="21"/>
          <w:highlight w:val="none"/>
        </w:rPr>
      </w:pPr>
      <w:r>
        <w:rPr>
          <w:rFonts w:hint="eastAsia" w:hAnsi="宋体" w:cs="宋体"/>
          <w:sz w:val="21"/>
          <w:highlight w:val="none"/>
        </w:rPr>
        <w:t>（7）电子投标文件解密失败的；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（8）未实质性响应招标文件要求或者投标文件有采购人不能接受的附加条件的。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2.在技术评审时，如发现下列情形之一的，投标文件将被视为无效：</w:t>
      </w:r>
    </w:p>
    <w:p>
      <w:pPr>
        <w:autoSpaceDE/>
        <w:autoSpaceDN/>
        <w:adjustRightInd/>
        <w:spacing w:line="500" w:lineRule="exact"/>
        <w:ind w:firstLine="315" w:firstLineChars="150"/>
        <w:jc w:val="both"/>
        <w:rPr>
          <w:rFonts w:hAnsi="宋体" w:cs="宋体"/>
          <w:sz w:val="21"/>
          <w:szCs w:val="21"/>
          <w:highlight w:val="none"/>
        </w:rPr>
      </w:pPr>
      <w:r>
        <w:rPr>
          <w:rFonts w:hint="eastAsia" w:hAnsi="宋体" w:cs="宋体"/>
          <w:sz w:val="21"/>
          <w:szCs w:val="21"/>
          <w:highlight w:val="none"/>
        </w:rPr>
        <w:t>（1）不符合法律、法规和招标文件中规定的其他实质性要求的（评标委员会一致认定）的；</w:t>
      </w:r>
    </w:p>
    <w:p>
      <w:pPr>
        <w:autoSpaceDE/>
        <w:autoSpaceDN/>
        <w:adjustRightInd/>
        <w:spacing w:line="500" w:lineRule="exact"/>
        <w:ind w:firstLine="315" w:firstLineChars="150"/>
        <w:jc w:val="both"/>
        <w:rPr>
          <w:rFonts w:hAnsi="宋体" w:cs="宋体"/>
          <w:sz w:val="21"/>
          <w:szCs w:val="21"/>
          <w:highlight w:val="none"/>
        </w:rPr>
      </w:pPr>
      <w:r>
        <w:rPr>
          <w:rFonts w:hint="eastAsia" w:hAnsi="宋体" w:cs="宋体"/>
          <w:sz w:val="21"/>
          <w:szCs w:val="21"/>
          <w:highlight w:val="none"/>
        </w:rPr>
        <w:t>（2）明显不符合招标文件服务要求、服务质量标准，或者与招标文件中标“★”的服务要求项目发生实质性偏离的；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（3）允许偏离的技术、性能指标或者辅助功能项目发生负偏离达10项（含）以上的；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（4）投标技术方案不明确，存在一个或一个以上备选（替代）投标方案的；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（5）与其他参加本次投标单位的投标文件（技术文件）的文字表述内容相同连续20行以上或者差错相同2处以上的。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3.在报价评审时，如发现下列情形之一的，投标文件将被视为无效：</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（1）未采用人民币报价或者未按照招标文件标明的币种报价的；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（2）投标报价具有选择性，或者开标价格与投标文件承诺的优惠价格不一致的；</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（3）投标报价明细表总额与</w:t>
      </w:r>
      <w:r>
        <w:rPr>
          <w:rFonts w:hint="eastAsia" w:hAnsi="宋体" w:cs="宋体"/>
          <w:sz w:val="21"/>
          <w:szCs w:val="21"/>
          <w:highlight w:val="none"/>
          <w:lang w:eastAsia="zh-CN"/>
        </w:rPr>
        <w:t>开标（报价）一览表</w:t>
      </w:r>
      <w:r>
        <w:rPr>
          <w:rFonts w:hint="eastAsia" w:hAnsi="宋体" w:cs="宋体"/>
          <w:sz w:val="21"/>
          <w:szCs w:val="21"/>
          <w:highlight w:val="none"/>
        </w:rPr>
        <w:t>总价不一致，且投标人拒绝按招标文件规定的方式进行错误修正的；</w:t>
      </w:r>
    </w:p>
    <w:p>
      <w:pPr>
        <w:spacing w:line="500" w:lineRule="exact"/>
        <w:ind w:firstLine="420" w:firstLineChars="200"/>
        <w:rPr>
          <w:rFonts w:hAnsi="宋体" w:cs="宋体"/>
          <w:sz w:val="21"/>
          <w:szCs w:val="21"/>
          <w:highlight w:val="none"/>
        </w:rPr>
      </w:pPr>
      <w:r>
        <w:rPr>
          <w:rFonts w:hint="eastAsia" w:hAnsi="宋体" w:cs="宋体"/>
          <w:sz w:val="21"/>
          <w:szCs w:val="21"/>
          <w:highlight w:val="none"/>
        </w:rPr>
        <w:t>（4）投标人的投报报价超过最高限价的；</w:t>
      </w:r>
    </w:p>
    <w:p>
      <w:pPr>
        <w:spacing w:line="500" w:lineRule="exact"/>
        <w:ind w:firstLine="420" w:firstLineChars="200"/>
        <w:rPr>
          <w:rFonts w:hAnsi="宋体" w:cs="宋体"/>
          <w:sz w:val="21"/>
          <w:szCs w:val="21"/>
          <w:highlight w:val="none"/>
        </w:rPr>
      </w:pPr>
      <w:r>
        <w:rPr>
          <w:rFonts w:hint="eastAsia" w:hAnsi="宋体" w:cs="宋体"/>
          <w:sz w:val="21"/>
          <w:szCs w:val="21"/>
          <w:highlight w:val="none"/>
        </w:rPr>
        <w:t>（5）评标委员会一致认为将获得成交候选资格的投标人报价或某些分项报价明显不合理，有降低质量、不能诚信履约的可能，且该投标人未在规定期限内作出解释，或所作解释不合理，经评标委员会取得一致意见后，确定该投标无效的；</w:t>
      </w:r>
    </w:p>
    <w:p>
      <w:pPr>
        <w:autoSpaceDE/>
        <w:autoSpaceDN/>
        <w:adjustRightInd/>
        <w:snapToGrid w:val="0"/>
        <w:spacing w:line="500" w:lineRule="exact"/>
        <w:ind w:firstLine="420"/>
        <w:rPr>
          <w:rFonts w:hAnsi="宋体" w:cs="宋体"/>
          <w:sz w:val="21"/>
          <w:szCs w:val="21"/>
          <w:highlight w:val="none"/>
        </w:rPr>
      </w:pPr>
      <w:r>
        <w:rPr>
          <w:rFonts w:hint="eastAsia" w:hAnsi="宋体" w:cs="宋体"/>
          <w:sz w:val="21"/>
          <w:highlight w:val="none"/>
        </w:rPr>
        <w:t>（6）投标人在线制作投标文件时《</w:t>
      </w:r>
      <w:r>
        <w:rPr>
          <w:rFonts w:hint="eastAsia" w:hAnsi="宋体" w:cs="宋体"/>
          <w:sz w:val="21"/>
          <w:highlight w:val="none"/>
          <w:lang w:eastAsia="zh-CN"/>
        </w:rPr>
        <w:t>开标（报价）一览表</w:t>
      </w:r>
      <w:r>
        <w:rPr>
          <w:rFonts w:hint="eastAsia" w:hAnsi="宋体" w:cs="宋体"/>
          <w:sz w:val="21"/>
          <w:highlight w:val="none"/>
        </w:rPr>
        <w:t>》中填写的金额与解密后“电子加密投标文件”中《</w:t>
      </w:r>
      <w:r>
        <w:rPr>
          <w:rFonts w:hint="eastAsia" w:hAnsi="宋体" w:cs="宋体"/>
          <w:sz w:val="21"/>
          <w:highlight w:val="none"/>
          <w:lang w:eastAsia="zh-CN"/>
        </w:rPr>
        <w:t>开标（报价）一览表</w:t>
      </w:r>
      <w:r>
        <w:rPr>
          <w:rFonts w:hint="eastAsia" w:hAnsi="宋体" w:cs="宋体"/>
          <w:sz w:val="21"/>
          <w:highlight w:val="none"/>
        </w:rPr>
        <w:t>》填写的金额不一致的，以解密后“电子加密投标文件”中《</w:t>
      </w:r>
      <w:r>
        <w:rPr>
          <w:rFonts w:hint="eastAsia" w:hAnsi="宋体" w:cs="宋体"/>
          <w:sz w:val="21"/>
          <w:highlight w:val="none"/>
          <w:lang w:eastAsia="zh-CN"/>
        </w:rPr>
        <w:t>开标（报价）一览表</w:t>
      </w:r>
      <w:r>
        <w:rPr>
          <w:rFonts w:hint="eastAsia" w:hAnsi="宋体" w:cs="宋体"/>
          <w:sz w:val="21"/>
          <w:highlight w:val="none"/>
        </w:rPr>
        <w:t>》填写的金额为准，投标人拒绝接受此调整的，按无效投标处理。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4.被拒绝的投标文件为无效投标文件。</w:t>
      </w:r>
    </w:p>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四、开标</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1.开标会由采购代理机构主持，宣布开标会议开始；</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2.在开标后投标人登录“政采云”平台，用“项目采购-开标评标”功能进行解密投标文件。</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若投标人在规定时间内无法解密或解密失败的，视为投标文件撤回。</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3.采购人或采购代理机构先对投标人的资格进行审查，如评审小组对投标文件有疑问，对投标人进行在线询标，投标人须在澄清截止时间前上传澄清函，若在澄清截止时间前未进行有效澄清的，逾期将不再接受澄清。资格审查不合格的投标人不再进入商务技术文件及报价文件的评审。</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4.评标委员会先对商务技术文件进行评审，如对投标文件有疑问，对投标人进行在线询标，投标人须在发起的澄清截止时间前上传澄清函，若在发起的澄清截止时间前未进行有效澄清的，逾期将不再接受澄清。商务技术文件不合格的投标人不再进入报价文件评审。</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5.资信商务技术文件评审结果在线公布后，在线开启报价文件，并由评标委员会进行报价评审。</w:t>
      </w:r>
      <w:r>
        <w:rPr>
          <w:rFonts w:hint="eastAsia" w:hAnsi="宋体" w:cs="宋体"/>
          <w:sz w:val="21"/>
          <w:highlight w:val="none"/>
        </w:rPr>
        <w:t>投标人在线制作投标</w:t>
      </w:r>
      <w:r>
        <w:rPr>
          <w:rFonts w:hint="eastAsia" w:hAnsi="宋体" w:cs="宋体"/>
          <w:b/>
          <w:sz w:val="21"/>
          <w:szCs w:val="21"/>
          <w:highlight w:val="none"/>
        </w:rPr>
        <w:t>报价</w:t>
      </w:r>
      <w:r>
        <w:rPr>
          <w:rFonts w:hint="eastAsia" w:hAnsi="宋体" w:cs="宋体"/>
          <w:sz w:val="21"/>
          <w:highlight w:val="none"/>
        </w:rPr>
        <w:t>文件中填写的金额与解密后“电子加密投标</w:t>
      </w:r>
      <w:r>
        <w:rPr>
          <w:rFonts w:hint="eastAsia" w:hAnsi="宋体" w:cs="宋体"/>
          <w:b/>
          <w:sz w:val="21"/>
          <w:szCs w:val="21"/>
          <w:highlight w:val="none"/>
        </w:rPr>
        <w:t>报价</w:t>
      </w:r>
      <w:r>
        <w:rPr>
          <w:rFonts w:hint="eastAsia" w:hAnsi="宋体" w:cs="宋体"/>
          <w:sz w:val="21"/>
          <w:highlight w:val="none"/>
        </w:rPr>
        <w:t>文件”中填写的金额不一致时，以解密后“电子加密投标</w:t>
      </w:r>
      <w:r>
        <w:rPr>
          <w:rFonts w:hint="eastAsia" w:hAnsi="宋体" w:cs="宋体"/>
          <w:b/>
          <w:sz w:val="21"/>
          <w:szCs w:val="21"/>
          <w:highlight w:val="none"/>
        </w:rPr>
        <w:t>报价</w:t>
      </w:r>
      <w:r>
        <w:rPr>
          <w:rFonts w:hint="eastAsia" w:hAnsi="宋体" w:cs="宋体"/>
          <w:sz w:val="21"/>
          <w:highlight w:val="none"/>
        </w:rPr>
        <w:t>文件”中填写的金额为准，投标人拒绝接受此规定的，按无效标处理。</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6. 综合评审结果在线公布各投标人得分汇总，并在线提交（宣布）中标候选人。</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7.评审结束后，代理机构宣布开标结束，并公布采购结果。</w:t>
      </w:r>
    </w:p>
    <w:p>
      <w:pPr>
        <w:autoSpaceDE/>
        <w:autoSpaceDN/>
        <w:adjustRightInd/>
        <w:spacing w:line="500" w:lineRule="exact"/>
        <w:ind w:firstLine="525" w:firstLineChars="250"/>
        <w:jc w:val="both"/>
        <w:rPr>
          <w:rFonts w:hAnsi="宋体" w:cs="宋体"/>
          <w:sz w:val="21"/>
          <w:szCs w:val="21"/>
          <w:highlight w:val="none"/>
        </w:rPr>
      </w:pPr>
      <w:r>
        <w:rPr>
          <w:rFonts w:hint="eastAsia" w:hAnsi="宋体" w:cs="宋体"/>
          <w:sz w:val="21"/>
          <w:szCs w:val="21"/>
          <w:highlight w:val="none"/>
        </w:rPr>
        <w:t>注：政采云公司如对电子化开标及评审程序有调整的，按调整后的程序操作。</w:t>
      </w:r>
    </w:p>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五、评标</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（一）组建评标委员会</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招标单位和代理机构将根据本项目的特点依法组建评标委员会，评标委员会由招标单位和有关技术、经济等方面五名以上（含五名）单数的专家组成，其中技术、经济等方面的专家不少于成员总数的三分之二。专家统一在浙江省政府采购专家管理系统（政采云）的专家库中随机抽取。</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（二）评标的方式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本项目采用不公开方式评标，评标的依据为招标文件和投标文件。</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（三）评标程序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1.形式审查</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采购人代表和代理机构工作人员协助评标委员会对投标人的资格和投标文件的完整性、合法性等进行审查。</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2.实质审查与比较</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（1）评标委员会审查投标文件的实质性内容是否符合招标文件的实质性要求。</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（2）评标委员会将根据投标人的投标文件进行审查、核对，如有疑问，将对投标人进行询标，投标人要向评标委员会澄清有关问题，并最终以书面形式进行答复。</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投标人代表未到场或者拒绝澄清或者澄清的内容改变了投标文件的实质性内容的，评标委员会有权对该投标文件作出不利于投标人的评判。</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（3）各投标人的技术商务得分为所有评委的有效评分的算术平均数，由指定专人进行计算复核。</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（4）代理机构工作人员协助评标委员会根据本项目的评分标准计算各投标人的投标报价得分。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（5）评标委员会完成评标后，评委对各部分得分汇总，计算出本项目最终得分、评标价等。评标委员会按评标原则推荐中标候选人同时起草评标报告。</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（四）澄清问题的形式</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pPr>
        <w:snapToGrid w:val="0"/>
        <w:spacing w:line="500" w:lineRule="exact"/>
        <w:ind w:firstLine="420"/>
        <w:rPr>
          <w:rFonts w:hAnsi="宋体" w:cs="宋体"/>
          <w:sz w:val="21"/>
          <w:highlight w:val="none"/>
        </w:rPr>
      </w:pPr>
      <w:r>
        <w:rPr>
          <w:rFonts w:hint="eastAsia" w:hAnsi="宋体" w:cs="宋体"/>
          <w:sz w:val="21"/>
          <w:highlight w:val="none"/>
        </w:rPr>
        <w:t>本项目在线开评标进行时，投标人法定代表人或其授权代表需自行关注平台提示信息，期间如有发出“询标/澄清函”等相关线上函件时，因投标人自身原因逾期/错过回复时间，由此造成的后果由投标人自行承担。</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（五）错误修正</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投标文件如果出现计算或表达上的错误，修正错误的原则如下：</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w:t>
      </w:r>
      <w:r>
        <w:rPr>
          <w:rFonts w:hint="eastAsia" w:hAnsi="宋体" w:cs="宋体"/>
          <w:sz w:val="21"/>
          <w:szCs w:val="21"/>
          <w:highlight w:val="none"/>
          <w:lang w:eastAsia="zh-CN"/>
        </w:rPr>
        <w:t>开标（报价）一览表</w:t>
      </w:r>
      <w:r>
        <w:rPr>
          <w:rFonts w:hint="eastAsia" w:hAnsi="宋体" w:cs="宋体"/>
          <w:sz w:val="21"/>
          <w:szCs w:val="21"/>
          <w:highlight w:val="none"/>
        </w:rPr>
        <w:t>总价与投标报价明细表汇总数不一致的，以</w:t>
      </w:r>
      <w:r>
        <w:rPr>
          <w:rFonts w:hint="eastAsia" w:hAnsi="宋体" w:cs="宋体"/>
          <w:sz w:val="21"/>
          <w:szCs w:val="21"/>
          <w:highlight w:val="none"/>
          <w:lang w:eastAsia="zh-CN"/>
        </w:rPr>
        <w:t>开标（报价）一览表</w:t>
      </w:r>
      <w:r>
        <w:rPr>
          <w:rFonts w:hint="eastAsia" w:hAnsi="宋体" w:cs="宋体"/>
          <w:sz w:val="21"/>
          <w:szCs w:val="21"/>
          <w:highlight w:val="none"/>
        </w:rPr>
        <w:t>为准；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2.投标文件的大写金额和小写金额不一致的，以大写金额为准；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3.总价金额与按单价汇总金额不一致的，以单价金额计算结果为准；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4.对不同文字文本投标文件的解释发生异议的，以中文文本为准。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按上述修正错误的原则及方法调整或修正投标文件的投标报价，投标人同意并签字确认后，调整后的投标报价对投标人具有约束作用。如果投标人不接受修正后的报价，则其投标将作为无效投标处理。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（六）评标原则和评标办法</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2.评标办法。具体评标内容及评分标准等详见《第四章：评标办法及评分标准》。</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（七）评标过程的监控</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本项目评标过程实行全程录音、录像监控，投标人在评标过程中所进行的试图影响评标结果的不公正活动，可能导致其投标被拒绝。</w:t>
      </w:r>
    </w:p>
    <w:p>
      <w:pPr>
        <w:autoSpaceDE/>
        <w:autoSpaceDN/>
        <w:adjustRightInd/>
        <w:spacing w:line="500" w:lineRule="exact"/>
        <w:ind w:firstLine="422" w:firstLineChars="200"/>
        <w:jc w:val="both"/>
        <w:rPr>
          <w:rFonts w:hAnsi="宋体" w:cs="宋体"/>
          <w:b/>
          <w:bCs/>
          <w:sz w:val="21"/>
          <w:szCs w:val="21"/>
          <w:highlight w:val="none"/>
        </w:rPr>
      </w:pPr>
      <w:r>
        <w:rPr>
          <w:rFonts w:hint="eastAsia" w:hAnsi="宋体" w:cs="宋体"/>
          <w:b/>
          <w:bCs/>
          <w:sz w:val="21"/>
          <w:szCs w:val="21"/>
          <w:highlight w:val="none"/>
        </w:rPr>
        <w:t>（八）中止电子交易活动的情形</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采购过程中出现以下情形，导致电子交易平台无法正常运行，或者无法保证电子交易的公平、公正和安全时，中止电子交易活动：</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1.电子交易平台发生故障而无法登录访问的；</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2.电子交易平台应用或数据库出现错误，不能进行正常操作的；</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3.电子交易平台发现严重安全漏洞，有潜在泄密危险的；</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4.病毒发作导致不能进行正常操作的；</w:t>
      </w:r>
    </w:p>
    <w:p>
      <w:pPr>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5.其他无法保证电子交易的公平、公正和安全的情况。</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出现前款规定情形，不影响采购公平、公正性的，采购组织机构可以待上述情形消除后继续组织电子交易活动，也可以决定某些环节以纸质形式进行评审；影响或可能影响采购公平、公正性的，应当重新采购。</w:t>
      </w:r>
    </w:p>
    <w:p>
      <w:pPr>
        <w:autoSpaceDE/>
        <w:autoSpaceDN/>
        <w:adjustRightInd/>
        <w:spacing w:line="500" w:lineRule="exact"/>
        <w:ind w:firstLine="482" w:firstLineChars="200"/>
        <w:jc w:val="both"/>
        <w:rPr>
          <w:rFonts w:hAnsi="宋体" w:cs="宋体"/>
          <w:b/>
          <w:sz w:val="24"/>
          <w:szCs w:val="24"/>
          <w:highlight w:val="none"/>
        </w:rPr>
      </w:pPr>
      <w:r>
        <w:rPr>
          <w:rFonts w:hint="eastAsia" w:hAnsi="宋体" w:cs="宋体"/>
          <w:b/>
          <w:sz w:val="24"/>
          <w:szCs w:val="24"/>
          <w:highlight w:val="none"/>
        </w:rPr>
        <w:t>六、定标</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（一）确定中标人。本项目由采购人（或采购人事先授权评标委员会）确定中标人。</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1.采购代理机构在评标结束后2个工作日内将评标报告交采购人确认。</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2.投标人对评标结果无异议的，采购人应在收到评标报告后5个工作日内对评标结果进行确认。如有投标人对评标结果提出质疑的，采购人可在质疑处理完毕后确定中标人。</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3.中标结果公示期：1个工作日。</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4.中标结果公示的同时采购代理机构以书面形式发出《中标通知书》。</w:t>
      </w:r>
    </w:p>
    <w:p>
      <w:pPr>
        <w:autoSpaceDE/>
        <w:autoSpaceDN/>
        <w:adjustRightInd/>
        <w:spacing w:line="460" w:lineRule="exact"/>
        <w:ind w:firstLine="482" w:firstLineChars="200"/>
        <w:jc w:val="both"/>
        <w:rPr>
          <w:rFonts w:hAnsi="宋体" w:cs="宋体"/>
          <w:b/>
          <w:sz w:val="24"/>
          <w:szCs w:val="24"/>
          <w:highlight w:val="none"/>
        </w:rPr>
      </w:pPr>
      <w:r>
        <w:rPr>
          <w:rFonts w:hint="eastAsia" w:hAnsi="宋体" w:cs="宋体"/>
          <w:b/>
          <w:sz w:val="24"/>
          <w:szCs w:val="24"/>
          <w:highlight w:val="none"/>
        </w:rPr>
        <w:t>七、合同授予</w:t>
      </w:r>
    </w:p>
    <w:p>
      <w:pPr>
        <w:pStyle w:val="3"/>
        <w:autoSpaceDE/>
        <w:autoSpaceDN/>
        <w:adjustRightInd w:val="0"/>
        <w:snapToGrid w:val="0"/>
        <w:spacing w:line="500" w:lineRule="exact"/>
        <w:ind w:firstLine="422" w:firstLineChars="200"/>
        <w:jc w:val="left"/>
        <w:rPr>
          <w:rFonts w:ascii="宋体" w:hAnsi="宋体" w:cs="宋体"/>
          <w:b/>
          <w:sz w:val="21"/>
          <w:szCs w:val="21"/>
          <w:highlight w:val="none"/>
        </w:rPr>
      </w:pPr>
      <w:r>
        <w:rPr>
          <w:rFonts w:hint="eastAsia" w:ascii="宋体" w:hAnsi="宋体" w:cs="宋体"/>
          <w:b/>
          <w:sz w:val="21"/>
          <w:szCs w:val="21"/>
          <w:highlight w:val="none"/>
        </w:rPr>
        <w:t>1. 合同的签订</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1.1除不可抗力等特殊情况外，采购人原则上应当在中标通知书发出之日起20日内，与中标人按照采购文件确定的事项签订政府采购合同，并在签订之日起2个工作日内将政府采购合同在浙江政府采购网上公告。</w:t>
      </w:r>
    </w:p>
    <w:p>
      <w:pPr>
        <w:pStyle w:val="110"/>
        <w:adjustRightInd w:val="0"/>
        <w:snapToGrid w:val="0"/>
        <w:spacing w:line="500" w:lineRule="exact"/>
        <w:ind w:firstLine="420" w:firstLineChars="200"/>
        <w:jc w:val="left"/>
        <w:rPr>
          <w:rFonts w:hint="default" w:ascii="宋体" w:hAnsi="宋体" w:cs="宋体"/>
          <w:kern w:val="0"/>
          <w:szCs w:val="21"/>
          <w:highlight w:val="none"/>
        </w:rPr>
      </w:pPr>
      <w:r>
        <w:rPr>
          <w:rFonts w:ascii="宋体" w:hAnsi="宋体" w:cs="宋体"/>
          <w:kern w:val="0"/>
          <w:szCs w:val="21"/>
          <w:highlight w:val="none"/>
        </w:rPr>
        <w:t>1</w:t>
      </w:r>
      <w:r>
        <w:rPr>
          <w:rFonts w:ascii="宋体" w:hAnsi="宋体" w:cs="宋体"/>
          <w:kern w:val="0"/>
          <w:szCs w:val="21"/>
          <w:highlight w:val="none"/>
          <w:lang w:val="zh-CN"/>
        </w:rPr>
        <w:t>.2中标人按规定的日期、时间、地点，由法定代表人或其授权代表与采购人代表签订合同。如中标人为联合体的，由联合体成员各方法定代表人或其授权代表与采购人代表签订合同（</w:t>
      </w:r>
      <w:r>
        <w:rPr>
          <w:rFonts w:ascii="宋体" w:hAnsi="宋体" w:cs="宋体"/>
          <w:kern w:val="0"/>
          <w:szCs w:val="21"/>
          <w:highlight w:val="none"/>
        </w:rPr>
        <w:t>注：本项目不接受联合体投标</w:t>
      </w:r>
      <w:r>
        <w:rPr>
          <w:rFonts w:ascii="宋体" w:hAnsi="宋体" w:cs="宋体"/>
          <w:kern w:val="0"/>
          <w:szCs w:val="21"/>
          <w:highlight w:val="none"/>
          <w:lang w:val="zh-CN"/>
        </w:rPr>
        <w:t>）。</w:t>
      </w:r>
    </w:p>
    <w:p>
      <w:pPr>
        <w:pStyle w:val="110"/>
        <w:adjustRightInd w:val="0"/>
        <w:snapToGrid w:val="0"/>
        <w:spacing w:line="500" w:lineRule="exact"/>
        <w:ind w:firstLine="420" w:firstLineChars="200"/>
        <w:jc w:val="left"/>
        <w:rPr>
          <w:rFonts w:hint="default" w:ascii="宋体" w:hAnsi="宋体" w:cs="宋体"/>
          <w:szCs w:val="21"/>
          <w:highlight w:val="none"/>
        </w:rPr>
      </w:pPr>
      <w:r>
        <w:rPr>
          <w:rFonts w:ascii="宋体" w:hAnsi="宋体" w:cs="宋体"/>
          <w:szCs w:val="21"/>
          <w:highlight w:val="none"/>
        </w:rPr>
        <w:t>1.3如签订合同并生效后，供应商无故拒绝或延期，除按照合同条款处理外，列入不良行为记录一次，并给予通报。</w:t>
      </w:r>
    </w:p>
    <w:p>
      <w:pPr>
        <w:pStyle w:val="110"/>
        <w:adjustRightInd w:val="0"/>
        <w:snapToGrid w:val="0"/>
        <w:spacing w:line="500" w:lineRule="exact"/>
        <w:ind w:firstLine="420" w:firstLineChars="200"/>
        <w:jc w:val="left"/>
        <w:rPr>
          <w:rFonts w:hint="default" w:ascii="宋体" w:hAnsi="宋体" w:cs="宋体"/>
          <w:szCs w:val="21"/>
          <w:highlight w:val="none"/>
        </w:rPr>
      </w:pPr>
      <w:r>
        <w:rPr>
          <w:rFonts w:ascii="宋体" w:hAnsi="宋体" w:cs="宋体"/>
          <w:szCs w:val="21"/>
          <w:highlight w:val="none"/>
        </w:rPr>
        <w:t>1.4中标人拒绝与采购人签订合同的，采购人可以按照评审报告推荐的中标或者成交候选人名单排序，确定下一候选人为中标人，也可以重新开展政府采购活动。</w:t>
      </w:r>
    </w:p>
    <w:p>
      <w:pPr>
        <w:pStyle w:val="110"/>
        <w:adjustRightInd w:val="0"/>
        <w:snapToGrid w:val="0"/>
        <w:spacing w:line="500" w:lineRule="exact"/>
        <w:ind w:firstLine="420" w:firstLineChars="200"/>
        <w:jc w:val="left"/>
        <w:rPr>
          <w:rFonts w:hint="default" w:ascii="宋体" w:hAnsi="宋体" w:cs="宋体"/>
          <w:szCs w:val="21"/>
          <w:highlight w:val="none"/>
        </w:rPr>
      </w:pPr>
      <w:r>
        <w:rPr>
          <w:rFonts w:ascii="宋体" w:hAnsi="宋体" w:cs="宋体"/>
          <w:szCs w:val="21"/>
          <w:highlight w:val="none"/>
        </w:rPr>
        <w:t>1.5采购合同由采购人与中标人根据采购文件、磋商响应文件等内容通过政府采购电子交易平台在线签订，自动备案。</w:t>
      </w:r>
    </w:p>
    <w:p>
      <w:pPr>
        <w:pStyle w:val="110"/>
        <w:adjustRightInd w:val="0"/>
        <w:snapToGrid w:val="0"/>
        <w:spacing w:line="500" w:lineRule="exact"/>
        <w:ind w:firstLine="422" w:firstLineChars="200"/>
        <w:jc w:val="left"/>
        <w:rPr>
          <w:rFonts w:hint="default" w:ascii="宋体" w:hAnsi="宋体" w:cs="宋体"/>
          <w:b/>
          <w:bCs/>
          <w:szCs w:val="21"/>
          <w:highlight w:val="none"/>
        </w:rPr>
      </w:pPr>
      <w:r>
        <w:rPr>
          <w:rFonts w:ascii="宋体" w:hAnsi="宋体" w:cs="宋体"/>
          <w:b/>
          <w:bCs/>
          <w:szCs w:val="21"/>
          <w:highlight w:val="none"/>
        </w:rPr>
        <w:t>1.6政府采购货物和服务项目不得收取质量保证金。政府采购工程以及与工程建设有关的货物、服务，采用招标方式采购的，按国家和省有关规定执行。</w:t>
      </w:r>
    </w:p>
    <w:p>
      <w:pPr>
        <w:pStyle w:val="3"/>
        <w:autoSpaceDE/>
        <w:autoSpaceDN/>
        <w:adjustRightInd w:val="0"/>
        <w:snapToGrid w:val="0"/>
        <w:spacing w:line="500" w:lineRule="exact"/>
        <w:ind w:firstLine="422" w:firstLineChars="200"/>
        <w:jc w:val="left"/>
        <w:rPr>
          <w:rFonts w:ascii="宋体" w:hAnsi="宋体" w:cs="宋体"/>
          <w:b/>
          <w:sz w:val="21"/>
          <w:szCs w:val="21"/>
          <w:highlight w:val="none"/>
        </w:rPr>
      </w:pPr>
      <w:r>
        <w:rPr>
          <w:rFonts w:hint="eastAsia" w:ascii="宋体" w:hAnsi="宋体" w:cs="宋体"/>
          <w:b/>
          <w:sz w:val="21"/>
          <w:szCs w:val="21"/>
          <w:highlight w:val="none"/>
        </w:rPr>
        <w:t>2. 履约保证金</w:t>
      </w:r>
    </w:p>
    <w:p>
      <w:pPr>
        <w:pStyle w:val="43"/>
        <w:adjustRightInd w:val="0"/>
        <w:snapToGrid w:val="0"/>
        <w:spacing w:before="0" w:beforeAutospacing="0" w:after="0" w:afterAutospacing="0" w:line="500" w:lineRule="exact"/>
        <w:ind w:firstLine="422" w:firstLineChars="200"/>
        <w:rPr>
          <w:rFonts w:ascii="宋体" w:cs="宋体"/>
          <w:b/>
          <w:bCs/>
          <w:sz w:val="21"/>
          <w:szCs w:val="21"/>
          <w:highlight w:val="none"/>
        </w:rPr>
      </w:pPr>
      <w:r>
        <w:rPr>
          <w:rFonts w:hint="eastAsia" w:ascii="宋体" w:cs="宋体"/>
          <w:b/>
          <w:sz w:val="21"/>
          <w:szCs w:val="21"/>
          <w:highlight w:val="none"/>
        </w:rPr>
        <w:t>2.1</w:t>
      </w:r>
      <w:r>
        <w:rPr>
          <w:rFonts w:hint="eastAsia" w:ascii="宋体" w:cs="宋体"/>
          <w:b/>
          <w:bCs/>
          <w:sz w:val="21"/>
          <w:szCs w:val="21"/>
          <w:highlight w:val="none"/>
        </w:rPr>
        <w:t>拟签订的合同文本要求中标人提交履约保证金的，供应商应当以支票、汇票、本票或者金融机构、担保机构出具的保函等非现金形式提交。履约保证金的数额不得超过政府采购合同金额的1%。鼓励和支持供应商以履约保函形式提供履约保证金。</w:t>
      </w:r>
    </w:p>
    <w:p>
      <w:pPr>
        <w:tabs>
          <w:tab w:val="left" w:pos="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供应商可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2.2 签订合同后，如中标人不按双方合同约定履约，则没收其全部履约保证金，履约保证金不足以赔偿损失的，按实际损失赔偿。</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2.3履约保证金（或履约保函）在运行服务已达到采购文件与合同约定的要求、中标人投标文件的承诺且通过采购人验收后，予以无息退还（或撤销到期履约保函）。</w:t>
      </w:r>
    </w:p>
    <w:p>
      <w:pPr>
        <w:pStyle w:val="3"/>
        <w:autoSpaceDE/>
        <w:autoSpaceDN/>
        <w:adjustRightInd w:val="0"/>
        <w:snapToGrid w:val="0"/>
        <w:spacing w:line="500" w:lineRule="exact"/>
        <w:ind w:firstLine="422" w:firstLineChars="200"/>
        <w:jc w:val="left"/>
        <w:rPr>
          <w:rFonts w:ascii="宋体" w:hAnsi="宋体" w:cs="宋体"/>
          <w:b/>
          <w:sz w:val="21"/>
          <w:szCs w:val="21"/>
          <w:highlight w:val="none"/>
        </w:rPr>
      </w:pPr>
      <w:r>
        <w:rPr>
          <w:rFonts w:hint="eastAsia" w:ascii="宋体" w:hAnsi="宋体" w:cs="宋体"/>
          <w:b/>
          <w:sz w:val="21"/>
          <w:szCs w:val="21"/>
          <w:highlight w:val="none"/>
        </w:rPr>
        <w:t>3. 预付款</w:t>
      </w:r>
    </w:p>
    <w:p>
      <w:pPr>
        <w:tabs>
          <w:tab w:val="left" w:pos="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采购单位应当在政府采购合同中约定预付款，对中小企业合同预付款比例原则上不低于合同金额的40％，不高于合同金额的70%；项目分年安排预算的，每年预付款比例不低于项目年度计划支付资金额的40％，不高于年度计划支付资金额的70%；采购项目实施以</w:t>
      </w:r>
      <w:r>
        <w:rPr>
          <w:rFonts w:hint="eastAsia" w:hAnsi="宋体" w:cs="宋体"/>
          <w:b/>
          <w:bCs/>
          <w:sz w:val="21"/>
          <w:szCs w:val="21"/>
          <w:highlight w:val="none"/>
        </w:rPr>
        <w:t>人工投入为主</w:t>
      </w:r>
      <w:r>
        <w:rPr>
          <w:rFonts w:hint="eastAsia" w:hAnsi="宋体" w:cs="宋体"/>
          <w:sz w:val="21"/>
          <w:szCs w:val="21"/>
          <w:highlight w:val="none"/>
        </w:rPr>
        <w:t>的，可适当降低预付款比例，但不得低于</w:t>
      </w:r>
      <w:r>
        <w:rPr>
          <w:rFonts w:hint="eastAsia" w:hAnsi="宋体" w:cs="宋体"/>
          <w:b/>
          <w:bCs/>
          <w:sz w:val="21"/>
          <w:szCs w:val="21"/>
          <w:highlight w:val="none"/>
        </w:rPr>
        <w:t>30%。</w:t>
      </w:r>
      <w:r>
        <w:rPr>
          <w:rFonts w:hint="eastAsia" w:hAnsi="宋体" w:cs="宋体"/>
          <w:sz w:val="21"/>
          <w:szCs w:val="21"/>
          <w:highlight w:val="none"/>
        </w:rPr>
        <w:t>对供应商为大型企业的项目或者以人工投入为主且实行按月定期结算支付款项的项目，预付款可低于上述比例或者不约定预付款。在签订合同时，供应商明确表示无需预付款或者主动要求降低预付款比例的，采购单位可不适用前述规定。采购单位根据项目特点、供应商诚信等因素，可以要求供应商提交银行、保险公司等金融机构出具的预付款保函或其他担保措施。政府采购预付款应在</w:t>
      </w:r>
      <w:r>
        <w:rPr>
          <w:rFonts w:hint="eastAsia" w:hAnsi="宋体" w:cs="宋体"/>
          <w:sz w:val="21"/>
          <w:szCs w:val="21"/>
          <w:highlight w:val="none"/>
          <w:u w:val="single"/>
        </w:rPr>
        <w:t>合同生效以及具备实施条件后</w:t>
      </w:r>
      <w:r>
        <w:rPr>
          <w:rFonts w:hint="eastAsia" w:hAnsi="宋体" w:cs="宋体"/>
          <w:b/>
          <w:bCs/>
          <w:sz w:val="21"/>
          <w:szCs w:val="21"/>
          <w:highlight w:val="none"/>
        </w:rPr>
        <w:t>7个工作日内</w:t>
      </w:r>
      <w:r>
        <w:rPr>
          <w:rFonts w:hint="eastAsia" w:hAnsi="宋体" w:cs="宋体"/>
          <w:sz w:val="21"/>
          <w:szCs w:val="21"/>
          <w:highlight w:val="none"/>
        </w:rPr>
        <w:t>支付。政府采购工程以及与工程建设有关的货物、服务，采用招标方式采购的，预付款从其相关规定。</w:t>
      </w:r>
    </w:p>
    <w:p>
      <w:pPr>
        <w:numPr>
          <w:ilvl w:val="255"/>
          <w:numId w:val="0"/>
        </w:numPr>
        <w:tabs>
          <w:tab w:val="left" w:pos="0"/>
        </w:tabs>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本项目的预付款为：合同签订生效且具备实施条件后，采购单位向中标单位支付合同金额的40％作为预付款。★如在签订合同时，中标人明确表示无需预付款或者主动要求降低预付款比例的，可降低预付款比例。</w:t>
      </w:r>
    </w:p>
    <w:p>
      <w:pPr>
        <w:pStyle w:val="3"/>
        <w:autoSpaceDE/>
        <w:autoSpaceDN/>
        <w:adjustRightInd w:val="0"/>
        <w:snapToGrid w:val="0"/>
        <w:spacing w:line="500" w:lineRule="exact"/>
        <w:ind w:firstLine="422" w:firstLineChars="200"/>
        <w:jc w:val="left"/>
        <w:rPr>
          <w:rFonts w:ascii="宋体" w:hAnsi="宋体" w:cs="宋体"/>
          <w:b/>
          <w:sz w:val="21"/>
          <w:szCs w:val="21"/>
          <w:highlight w:val="none"/>
        </w:rPr>
      </w:pPr>
      <w:r>
        <w:rPr>
          <w:rFonts w:hint="eastAsia" w:ascii="宋体" w:hAnsi="宋体" w:cs="宋体"/>
          <w:b/>
          <w:sz w:val="21"/>
          <w:szCs w:val="21"/>
          <w:highlight w:val="none"/>
        </w:rPr>
        <w:t>4.资金支付</w:t>
      </w:r>
    </w:p>
    <w:p>
      <w:pPr>
        <w:pStyle w:val="3"/>
        <w:adjustRightInd w:val="0"/>
        <w:snapToGrid w:val="0"/>
        <w:spacing w:line="500" w:lineRule="exact"/>
        <w:ind w:firstLine="422" w:firstLineChars="200"/>
        <w:jc w:val="left"/>
        <w:rPr>
          <w:rFonts w:ascii="宋体" w:hAnsi="宋体" w:cs="宋体"/>
          <w:sz w:val="21"/>
          <w:szCs w:val="21"/>
          <w:highlight w:val="none"/>
        </w:rPr>
      </w:pPr>
      <w:r>
        <w:rPr>
          <w:rFonts w:hint="eastAsia" w:ascii="宋体" w:hAnsi="宋体" w:cs="宋体"/>
          <w:b/>
          <w:sz w:val="21"/>
          <w:szCs w:val="21"/>
          <w:highlight w:val="none"/>
        </w:rPr>
        <w:t>采购单位应当及时</w:t>
      </w:r>
      <w:r>
        <w:rPr>
          <w:rFonts w:hint="eastAsia" w:ascii="宋体" w:hAnsi="宋体" w:cs="宋体"/>
          <w:sz w:val="21"/>
          <w:szCs w:val="21"/>
          <w:highlight w:val="none"/>
        </w:rPr>
        <w:t>组织项目验收，</w:t>
      </w:r>
      <w:r>
        <w:rPr>
          <w:rFonts w:hint="eastAsia" w:ascii="宋体" w:hAnsi="宋体" w:cs="宋体"/>
          <w:b/>
          <w:bCs/>
          <w:sz w:val="21"/>
          <w:szCs w:val="21"/>
          <w:highlight w:val="none"/>
        </w:rPr>
        <w:t>不得以政府部门审计作为支付供应商款项的条件。</w:t>
      </w:r>
      <w:r>
        <w:rPr>
          <w:rFonts w:hint="eastAsia" w:ascii="宋体" w:hAnsi="宋体" w:cs="宋体"/>
          <w:sz w:val="21"/>
          <w:szCs w:val="21"/>
          <w:highlight w:val="none"/>
        </w:rPr>
        <w:t>采购单位对于满足合同约定支付条件的，</w:t>
      </w:r>
      <w:r>
        <w:rPr>
          <w:rFonts w:hint="eastAsia" w:ascii="宋体" w:hAnsi="宋体" w:cs="宋体"/>
          <w:b/>
          <w:bCs/>
          <w:sz w:val="21"/>
          <w:szCs w:val="21"/>
          <w:highlight w:val="none"/>
        </w:rPr>
        <w:t>自收到发票后7个工作日内</w:t>
      </w:r>
      <w:r>
        <w:rPr>
          <w:rFonts w:hint="eastAsia" w:ascii="宋体" w:hAnsi="宋体" w:cs="宋体"/>
          <w:sz w:val="21"/>
          <w:szCs w:val="21"/>
          <w:highlight w:val="none"/>
        </w:rPr>
        <w:t>将资金支付到合同约定的供应商账户。采购单位不得以机构变动、人员更替、政策调整、单位放假、履行内部付款流程，或者在合同未作约定的情况下以等待竣工验收批复、决算审计等为由迟延付款。迟延支付中小企业款项的，供应商可要求采购单位支付逾期利息。</w:t>
      </w:r>
    </w:p>
    <w:p>
      <w:pPr>
        <w:snapToGrid w:val="0"/>
        <w:spacing w:line="500" w:lineRule="exact"/>
        <w:ind w:firstLine="422" w:firstLineChars="200"/>
        <w:rPr>
          <w:rFonts w:hAnsi="宋体" w:cs="宋体"/>
          <w:b/>
          <w:bCs/>
          <w:sz w:val="21"/>
          <w:szCs w:val="21"/>
          <w:highlight w:val="none"/>
        </w:rPr>
      </w:pPr>
      <w:bookmarkStart w:id="46" w:name="_Toc97649962"/>
      <w:r>
        <w:rPr>
          <w:rFonts w:hint="eastAsia" w:hAnsi="宋体" w:cs="宋体"/>
          <w:b/>
          <w:sz w:val="21"/>
          <w:szCs w:val="21"/>
          <w:highlight w:val="none"/>
        </w:rPr>
        <w:t>八、项目验收</w:t>
      </w:r>
      <w:bookmarkEnd w:id="46"/>
    </w:p>
    <w:p>
      <w:pPr>
        <w:tabs>
          <w:tab w:val="left" w:pos="0"/>
        </w:tabs>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2.采购人可以邀请参加本项目的其他供应商或者第三方机构参与验收。参与验收的供应商或者第三方机构的意见作为验收书的参考资料一并存档。</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autoSpaceDE/>
        <w:autoSpaceDN/>
        <w:snapToGrid w:val="0"/>
        <w:spacing w:line="500" w:lineRule="exact"/>
        <w:ind w:firstLine="420" w:firstLineChars="200"/>
        <w:rPr>
          <w:rFonts w:hAnsi="宋体" w:cs="宋体"/>
          <w:b/>
          <w:bCs/>
          <w:sz w:val="21"/>
          <w:szCs w:val="21"/>
          <w:highlight w:val="none"/>
        </w:rPr>
      </w:pPr>
      <w:r>
        <w:rPr>
          <w:rFonts w:hint="eastAsia" w:hAnsi="宋体" w:cs="宋体"/>
          <w:sz w:val="21"/>
          <w:szCs w:val="21"/>
          <w:highlight w:val="none"/>
        </w:rPr>
        <w:t>4.采购人原则上应当在</w:t>
      </w:r>
      <w:r>
        <w:rPr>
          <w:rFonts w:hint="eastAsia" w:hAnsi="宋体" w:cs="宋体"/>
          <w:b/>
          <w:bCs/>
          <w:sz w:val="21"/>
          <w:szCs w:val="21"/>
          <w:highlight w:val="none"/>
        </w:rPr>
        <w:t>履约验收之日起2个工作日内</w:t>
      </w:r>
      <w:r>
        <w:rPr>
          <w:rFonts w:hint="eastAsia" w:hAnsi="宋体" w:cs="宋体"/>
          <w:sz w:val="21"/>
          <w:szCs w:val="21"/>
          <w:highlight w:val="none"/>
        </w:rPr>
        <w:t>，将</w:t>
      </w:r>
      <w:r>
        <w:rPr>
          <w:rFonts w:hint="eastAsia" w:hAnsi="宋体" w:cs="宋体"/>
          <w:b/>
          <w:bCs/>
          <w:sz w:val="21"/>
          <w:szCs w:val="21"/>
          <w:highlight w:val="none"/>
        </w:rPr>
        <w:t>履约验收结果在浙江政府采购网上公告。</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5.验收合格的项目，采购人将根据采购合同的约定及时向供应商支付采购资金、退还履约保证金。</w:t>
      </w:r>
    </w:p>
    <w:p>
      <w:pPr>
        <w:tabs>
          <w:tab w:val="left" w:pos="0"/>
        </w:tabs>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autoSpaceDE/>
        <w:autoSpaceDN/>
        <w:adjustRightInd/>
        <w:spacing w:line="500" w:lineRule="exact"/>
        <w:ind w:firstLine="422" w:firstLineChars="200"/>
        <w:jc w:val="both"/>
        <w:rPr>
          <w:rFonts w:hAnsi="宋体" w:cs="宋体"/>
          <w:sz w:val="21"/>
          <w:szCs w:val="21"/>
          <w:highlight w:val="none"/>
        </w:rPr>
      </w:pPr>
      <w:r>
        <w:rPr>
          <w:rFonts w:hint="eastAsia" w:hAnsi="宋体" w:cs="宋体"/>
          <w:b/>
          <w:sz w:val="21"/>
          <w:szCs w:val="21"/>
          <w:highlight w:val="none"/>
        </w:rPr>
        <w:t>九、本项目招标在金华市财政局政府采购监管处监督下进行。</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十、电子投标特别提醒</w:t>
      </w:r>
    </w:p>
    <w:p>
      <w:pPr>
        <w:snapToGrid w:val="0"/>
        <w:spacing w:line="500" w:lineRule="exact"/>
        <w:ind w:firstLine="420"/>
        <w:rPr>
          <w:rFonts w:hAnsi="宋体" w:cs="宋体"/>
          <w:sz w:val="21"/>
          <w:highlight w:val="none"/>
        </w:rPr>
      </w:pPr>
      <w:r>
        <w:rPr>
          <w:rFonts w:hint="eastAsia" w:hAnsi="宋体" w:cs="宋体"/>
          <w:sz w:val="21"/>
          <w:highlight w:val="none"/>
        </w:rPr>
        <w:t>1.请所有投标人在政采云系统准时参加线上开标活动,并且要求法定代表人或授权委托人全程在线。</w:t>
      </w:r>
    </w:p>
    <w:p>
      <w:pPr>
        <w:snapToGrid w:val="0"/>
        <w:spacing w:line="500" w:lineRule="exact"/>
        <w:ind w:firstLine="420"/>
        <w:rPr>
          <w:rFonts w:hAnsi="宋体" w:cs="宋体"/>
          <w:sz w:val="21"/>
          <w:highlight w:val="none"/>
        </w:rPr>
      </w:pPr>
      <w:r>
        <w:rPr>
          <w:rFonts w:hint="eastAsia" w:hAnsi="宋体" w:cs="宋体"/>
          <w:sz w:val="21"/>
          <w:highlight w:val="none"/>
        </w:rPr>
        <w:t>2.投标截止时间后，代理机构将线上开启解密，投标人需及时用CA锁在线解密，解密时间一般为半小时（</w:t>
      </w:r>
      <w:r>
        <w:rPr>
          <w:rFonts w:hint="eastAsia" w:hAnsi="宋体" w:cs="宋体"/>
          <w:sz w:val="21"/>
          <w:szCs w:val="21"/>
          <w:highlight w:val="none"/>
        </w:rPr>
        <w:t>解密时限由财政部门设置</w:t>
      </w:r>
      <w:r>
        <w:rPr>
          <w:rFonts w:hint="eastAsia" w:hAnsi="宋体" w:cs="宋体"/>
          <w:sz w:val="21"/>
          <w:highlight w:val="none"/>
        </w:rPr>
        <w:t>），逾期解密，投标人自行承担风险。</w:t>
      </w:r>
    </w:p>
    <w:p>
      <w:pPr>
        <w:widowControl/>
        <w:snapToGrid w:val="0"/>
        <w:spacing w:line="500" w:lineRule="exact"/>
        <w:ind w:firstLine="420"/>
        <w:rPr>
          <w:rFonts w:hAnsi="宋体" w:cs="宋体"/>
          <w:sz w:val="21"/>
          <w:highlight w:val="none"/>
        </w:rPr>
      </w:pPr>
      <w:r>
        <w:rPr>
          <w:rFonts w:hint="eastAsia" w:hAnsi="宋体" w:cs="宋体"/>
          <w:sz w:val="21"/>
          <w:highlight w:val="none"/>
        </w:rPr>
        <w:t>3.解密响应文件的CA锁必须跟制作响应文件的CA锁为同一个，否则将导致解密失败。</w:t>
      </w:r>
    </w:p>
    <w:p>
      <w:pPr>
        <w:snapToGrid w:val="0"/>
        <w:spacing w:line="500" w:lineRule="exact"/>
        <w:ind w:firstLine="420" w:firstLineChars="200"/>
        <w:rPr>
          <w:rFonts w:hAnsi="宋体" w:cs="宋体"/>
          <w:bCs/>
          <w:sz w:val="21"/>
          <w:szCs w:val="22"/>
          <w:highlight w:val="none"/>
        </w:rPr>
      </w:pPr>
      <w:bookmarkStart w:id="47" w:name="_Toc7787"/>
      <w:r>
        <w:rPr>
          <w:rFonts w:hint="eastAsia" w:hAnsi="宋体" w:cs="宋体"/>
          <w:bCs/>
          <w:sz w:val="21"/>
          <w:szCs w:val="22"/>
          <w:highlight w:val="none"/>
        </w:rPr>
        <w:t>4.请务必确保投标文件制作客户端为最新版本，旧版本可能导致投标文件解密失败。</w:t>
      </w:r>
      <w:bookmarkEnd w:id="47"/>
    </w:p>
    <w:p>
      <w:pPr>
        <w:snapToGrid w:val="0"/>
        <w:spacing w:line="500" w:lineRule="exact"/>
        <w:ind w:firstLine="420"/>
        <w:jc w:val="center"/>
        <w:outlineLvl w:val="0"/>
        <w:rPr>
          <w:rFonts w:hAnsi="宋体" w:cs="宋体"/>
          <w:sz w:val="30"/>
          <w:szCs w:val="30"/>
          <w:highlight w:val="none"/>
        </w:rPr>
      </w:pPr>
      <w:r>
        <w:rPr>
          <w:rFonts w:hint="eastAsia" w:hAnsi="宋体" w:cs="宋体"/>
          <w:sz w:val="21"/>
          <w:szCs w:val="21"/>
          <w:highlight w:val="none"/>
        </w:rPr>
        <w:br w:type="page"/>
      </w:r>
      <w:bookmarkStart w:id="48" w:name="_Toc351559944"/>
      <w:r>
        <w:rPr>
          <w:rFonts w:hint="eastAsia" w:hAnsi="宋体" w:cs="宋体"/>
          <w:b/>
          <w:bCs/>
          <w:sz w:val="30"/>
          <w:szCs w:val="30"/>
          <w:highlight w:val="none"/>
        </w:rPr>
        <w:t>第四章 评标办法及评分标准</w:t>
      </w:r>
      <w:bookmarkEnd w:id="48"/>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为公正、公平、科学地选择中标人，根据《中华人民共和国政府采购法》等有关法律法规的规定，并结合本项目的实际，制定本办法。</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本办法仅适用本项目的评标。</w:t>
      </w:r>
    </w:p>
    <w:p>
      <w:pPr>
        <w:autoSpaceDE/>
        <w:autoSpaceDN/>
        <w:adjustRightInd/>
        <w:spacing w:line="460" w:lineRule="exact"/>
        <w:ind w:firstLine="422" w:firstLineChars="200"/>
        <w:jc w:val="both"/>
        <w:rPr>
          <w:rFonts w:hAnsi="宋体" w:cs="宋体"/>
          <w:b/>
          <w:sz w:val="21"/>
          <w:szCs w:val="21"/>
          <w:highlight w:val="none"/>
        </w:rPr>
      </w:pPr>
      <w:r>
        <w:rPr>
          <w:rFonts w:hint="eastAsia" w:hAnsi="宋体" w:cs="宋体"/>
          <w:b/>
          <w:sz w:val="21"/>
          <w:szCs w:val="21"/>
          <w:highlight w:val="none"/>
        </w:rPr>
        <w:t>一、总则</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本次评标采用综合评分法，总分为100分，其中价格分15分，技术商务分85分等二部分。合格投标人的评标得分为各项目汇总得分，中标候选资格按评标得分由高到低顺序排列，汇总得分相同的，按投标报价由低到高顺序排列；汇总得分且投标报价均相同的，按“运行维护服务方案”的分值高低排序。排名第一的投标人为中标候选人，排名第二的投标人为候补中标候选人……其他投标人中标候选资格依此类推。评分过程中采用四舍五入法，并保留小数2位。</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投标人评标综合得分=价格分+技术商务分。</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技术商务分=（评审小组所有成员评分合计数）/（评审小组组成人员数）</w:t>
      </w:r>
    </w:p>
    <w:p>
      <w:pPr>
        <w:pStyle w:val="43"/>
        <w:adjustRightInd w:val="0"/>
        <w:snapToGrid w:val="0"/>
        <w:spacing w:before="0" w:beforeAutospacing="0" w:after="0" w:afterAutospacing="0" w:line="500" w:lineRule="exact"/>
        <w:ind w:firstLine="422" w:firstLineChars="200"/>
        <w:rPr>
          <w:rFonts w:ascii="宋体" w:cs="宋体"/>
          <w:b/>
          <w:bCs/>
          <w:highlight w:val="none"/>
          <w:lang w:bidi="ar"/>
        </w:rPr>
      </w:pPr>
      <w:r>
        <w:rPr>
          <w:rFonts w:hint="eastAsia" w:ascii="宋体" w:cs="宋体"/>
          <w:b/>
          <w:sz w:val="21"/>
          <w:szCs w:val="21"/>
          <w:highlight w:val="none"/>
        </w:rPr>
        <w:t>二、评审纪律和要求</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1.评审专家必须公平、公正评审，遵纪守法，客观、廉洁地履行职责。</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2.评审专家在评审开始前，应关闭并上交随身携带的各种通信工具。</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3.评审专家在评审过程中，未经许可不得中途离开评审现场，不得迟到早退。</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4.评审专家和工作人员不得透露评审过程中的讨论情况和评审结果。</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5.评审时，评审专家须按招标文件规定的程序、条件和标准，对投标人投标文件的合规性、完整性和有效性进行审查、比较和评估，其中对投标人的资格条件、主要技术参数、商务报价和其他评审要素等，评审专家应逐项进行审查、比较，不得漏评少评。</w:t>
      </w:r>
      <w:r>
        <w:rPr>
          <w:rFonts w:hint="eastAsia" w:hAnsi="宋体" w:cs="宋体"/>
          <w:b/>
          <w:bCs/>
          <w:sz w:val="21"/>
          <w:szCs w:val="21"/>
          <w:highlight w:val="none"/>
        </w:rPr>
        <w:t>如发现与招标文件要求相偏离的，应对其偏离情形进行必要的核实，并在工作底稿中予以说明；如属于实质性偏离或符合无效投标文件的，可询问投标人，并允许投标人进行陈述申辩，但不允许其对偏离条款进行补充、修正或撤回</w:t>
      </w:r>
      <w:r>
        <w:rPr>
          <w:rFonts w:hint="eastAsia" w:hAnsi="宋体" w:cs="宋体"/>
          <w:sz w:val="21"/>
          <w:szCs w:val="21"/>
          <w:highlight w:val="none"/>
        </w:rPr>
        <w:t>。</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6.采购人、采购代理机构不得向评审委员会的评审专家作倾向性、误导性的解释或者说明。</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7.采购代理机构应当为评审专家提供必要的评审条件和相应的评审工作底稿，并严格按规定程序组织评审专家有步骤地进行项目评审，</w:t>
      </w:r>
      <w:r>
        <w:rPr>
          <w:rFonts w:hint="eastAsia" w:hAnsi="宋体" w:cs="宋体"/>
          <w:b/>
          <w:bCs/>
          <w:sz w:val="21"/>
          <w:szCs w:val="21"/>
          <w:highlight w:val="none"/>
        </w:rPr>
        <w:t>对各评审专家的评审情况和评审意见进行合理性和合规性审查，对明显畸高、畸低的重大差异评审情况（其总评分偏离平均分30%以上），提醒相关评审专家进行复核或书面说明理由</w:t>
      </w:r>
      <w:r>
        <w:rPr>
          <w:rFonts w:hint="eastAsia" w:hAnsi="宋体" w:cs="宋体"/>
          <w:sz w:val="21"/>
          <w:szCs w:val="21"/>
          <w:highlight w:val="none"/>
        </w:rPr>
        <w:t>。</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8.评审专家在评审过程中不得将自己的观点强加给其他评审专家，评审专家应自主发表见解，对评审意见承担个人责任。</w:t>
      </w:r>
    </w:p>
    <w:p>
      <w:pPr>
        <w:autoSpaceDE/>
        <w:autoSpaceDN/>
        <w:snapToGrid w:val="0"/>
        <w:spacing w:line="500" w:lineRule="exact"/>
        <w:ind w:firstLine="422" w:firstLineChars="200"/>
        <w:rPr>
          <w:rFonts w:hAnsi="宋体" w:cs="宋体"/>
          <w:sz w:val="21"/>
          <w:szCs w:val="21"/>
          <w:highlight w:val="none"/>
        </w:rPr>
      </w:pPr>
      <w:r>
        <w:rPr>
          <w:rFonts w:hint="eastAsia" w:hAnsi="宋体" w:cs="宋体"/>
          <w:b/>
          <w:bCs/>
          <w:sz w:val="21"/>
          <w:szCs w:val="21"/>
          <w:highlight w:val="none"/>
        </w:rPr>
        <w:t>9.评审结束后，评审委员会应向采购代理机构提交项目评审报告。评审报告是采购人确定中标人的合法依据，评审委员会应当如实、客观地反映评审情况，按招标文件的评审办法和细则的规定推荐中标候选人，说明推荐理由，并重点对中标候选人的技术、服务和价格等情况进行评价和比较。如排名第一的投标人报价为最高报价的，评审报告中须对其报价的合理性等进行分析和特别说明</w:t>
      </w:r>
      <w:r>
        <w:rPr>
          <w:rFonts w:hint="eastAsia" w:hAnsi="宋体" w:cs="宋体"/>
          <w:sz w:val="21"/>
          <w:szCs w:val="21"/>
          <w:highlight w:val="none"/>
        </w:rPr>
        <w:t>。</w:t>
      </w:r>
    </w:p>
    <w:p>
      <w:pPr>
        <w:autoSpaceDE/>
        <w:autoSpaceDN/>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10.评审专家应当独立、客观、公正地提出评审意见，不得带有倾向性，不得影响其他评审专家评审，并在评审报告上签字；如对评审报告有异议的，可在报告上签署不同意见，并说明理由，否则将视为同意。</w:t>
      </w:r>
    </w:p>
    <w:p>
      <w:pPr>
        <w:autoSpaceDE/>
        <w:autoSpaceDN/>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11.评审专家应当遵守评审工作纪律，不得泄露评审文件、评审情况和评审中获悉的商业秘密。</w:t>
      </w:r>
    </w:p>
    <w:p>
      <w:pPr>
        <w:autoSpaceDE/>
        <w:autoSpaceDN/>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评审委员会在评审过程中发现投标人有行贿、提供虚假材料或者串通等违法行为的，应当及时向财政部门报告。</w:t>
      </w:r>
    </w:p>
    <w:p>
      <w:pPr>
        <w:autoSpaceDE/>
        <w:autoSpaceDN/>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12.招标文件内容违反国家有关强制性规定的，评审委员会应当停止评审并向采购代理机构说明情况。</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13.评审专家应当配合采购代理机构答复投标人提出的质疑。</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14.评审专家应当配合财政部门的投诉处理工作。</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15.评审专家有如下行为之一的，责令改正，给予警告，可以并处一千元以下的罚款：</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①明知应当回避而未主动回避的；</w:t>
      </w:r>
    </w:p>
    <w:p>
      <w:pPr>
        <w:autoSpaceDE/>
        <w:autoSpaceDN/>
        <w:snapToGrid w:val="0"/>
        <w:spacing w:line="500" w:lineRule="exact"/>
        <w:ind w:firstLine="420" w:firstLineChars="200"/>
        <w:rPr>
          <w:rFonts w:hAnsi="宋体" w:cs="宋体"/>
          <w:sz w:val="21"/>
          <w:szCs w:val="21"/>
          <w:highlight w:val="none"/>
        </w:rPr>
      </w:pPr>
      <w:r>
        <w:rPr>
          <w:rFonts w:hint="eastAsia" w:hAnsi="宋体" w:cs="宋体"/>
          <w:snapToGrid w:val="0"/>
          <w:sz w:val="21"/>
          <w:szCs w:val="21"/>
          <w:highlight w:val="none"/>
        </w:rPr>
        <w:t>②在得知自己为评审专家身份后至评审结束前时段内私下接触投标人的</w:t>
      </w:r>
      <w:r>
        <w:rPr>
          <w:rFonts w:hint="eastAsia" w:hAnsi="宋体" w:cs="宋体"/>
          <w:sz w:val="21"/>
          <w:szCs w:val="21"/>
          <w:highlight w:val="none"/>
        </w:rPr>
        <w:t>；</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③在评审过程中擅离职守，影响评审程序正常进行的；</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④在评审过程有明显不合理或者不正当倾向性的；</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⑤未按招标文件规定的评审方法和标准进行评审的。</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⑥上述①至⑤行为影响中标结果的，中标结果无效。</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16.政府采购评审专家未按照招标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政府采购评审专家与投标人存在利害关系未回避的，处2万元以上5万元以下的罚款，禁止其参加政府采购评审活动。</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政府采购评审专家收受采购人、采购代理机构、投标人贿赂或者获取其他不正当利益，构成犯罪的，依法追究刑事责任；尚不构成犯罪的，处2万元以上5万元以下的罚款，禁止其参加政府采购评审活动。</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政府采购评审专家有上述违法行为的，其评审意见无效，不得获取评审费；有违法所得的，没收违法所得；给他人造成损失的，依法承担民事责任。</w:t>
      </w:r>
    </w:p>
    <w:p>
      <w:pPr>
        <w:pStyle w:val="43"/>
        <w:adjustRightInd w:val="0"/>
        <w:snapToGrid w:val="0"/>
        <w:spacing w:before="0" w:beforeAutospacing="0" w:after="0" w:afterAutospacing="0" w:line="500" w:lineRule="exact"/>
        <w:ind w:firstLine="422" w:firstLineChars="200"/>
        <w:rPr>
          <w:rFonts w:ascii="宋体" w:cs="宋体"/>
          <w:b/>
          <w:sz w:val="21"/>
          <w:szCs w:val="21"/>
          <w:highlight w:val="none"/>
        </w:rPr>
      </w:pPr>
      <w:r>
        <w:rPr>
          <w:rFonts w:hint="eastAsia" w:ascii="宋体" w:cs="宋体"/>
          <w:b/>
          <w:sz w:val="21"/>
          <w:szCs w:val="21"/>
          <w:highlight w:val="none"/>
        </w:rPr>
        <w:t>三、评标定标时对政府采购政策的落实要求</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.采购项目需要落实的政府采购政策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.1 本项目原则上采购本国生产的货物、工程和服务，不允许采购进口产品。除非采购人采购进口产品，已经在采购活动开始前向财政部门提出申请并获得财政部门审核同意，且在采购需求中明确规定可以采购进口产品，未明确视同不得采购进口产品（但如果因信息不对称等原因，仍有满足需求的国内产品要求参与采购竞争的，采购人、采购机构不会对其加以限制，仍将按照公平竞争原则实施采购）。</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.2 支持绿色发展</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2.1采购人拟采购的产品属于品目清单范围的，采购人及其委托的采购代理机构将依据国家确定的认证机构出具的、处于有效期之内的节能产品、环境标志产品认证证书，对获得证书的产品实施政府优先采购或强制采购。供应商须按采购文件要求提供相关产品认证证书。▲采购人拟采购的产品属于政府强制采购的节能产品品目清单范围的，供应商未按采购文件要求提供国家确定的认证机构出具的、处于有效期之内的节能产品认证证书的，投标无效。</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2.2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.3支持中小企业发展</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.3.1中小企业，是指在中华人民共和国境内依法设立，依据国务院批准的中小企业划分标准确定的中型企业、小型企业和微型企业，但与大企业的负责人为同一人，或者与大企业存在直接控股、管理关系的除外。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bidi="ar"/>
        </w:rPr>
        <w:t>符合中小企业划分标准的个体工商户，在政府采购活动中视同中小企业。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.3.2在政府采购活动中，供应商提供的货物、工程或者服务符合下列情形的，享受中小企业扶持政策：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.3.2.1在货物采购项目中，货物由中小企业制造，即货物由中小企业生产且使用该中小企业商号或者注册商标；</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.3.2.2在工程采购项目中，工程由中小企业承建，即工程施工单位为中小企业；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.3.2.3在服务采购项目中，服务由中小企业承接，即提供服务的人员为中小企业依照《中华人民共和国劳动合同法》订立劳动合同的从业人员。</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bidi="ar"/>
        </w:rPr>
        <w:t>在货物采购项目中，供应商提供的货物既有中小企业制造货物，也有大型企业制造货物的，不享受中小企业扶持政策。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bidi="ar"/>
        </w:rPr>
        <w:t>以联合体形式参加政府采购活动，联合体各方均为中小企业的，联合体视同中小企业。其中，联合体各方均为小微企业的，联合体视同小微企业。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3.3对于未预留份额专门面向中小企业的政府采购货物或服务项目，以及预留份额政府采购货物或服务项目中的非预留部分标项，对小型和微型企业的投标报价给予扣除，用扣除后的价格参与评审。接受大中型企业与小微企业组成联合体或者允许大中型企业向一家或者多家小微企业分包的政府采购货物或服务项目，对于联合协议或者分包意向协议约定小微企业的合同份额占到合同总金额30%以上的，对联合体或者大中型企业的报价给予扣除，用扣除后的价格参加评审。组成联合体或者接受分包的小微企业与联合体内其他企业、分包企业之间存在直接控股、管理关系的，不享受价格扣除优惠政策。</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.3.4符合《关于促进残疾人就业政府采购政策的通知》（财库〔2017〕141号）规定的条件并提供《残疾人福利性单位声明函》（附件1）的残疾人福利性单位视同小型、微型企业；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3.5符合《关于政府采购支持监狱企业发展有关问题的通知》（财库[2014]68号）规定的监狱企业并提供由省级以上监狱管理局、戒毒管理局（含新疆生产建设兵团）出具的属于监狱企业证明文件的，视同为小型、微型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3.6可享受中小企业扶持政策的供应商应按照采购文件格式要求提供《中小企业声明函》，供应商提供的《中小企业声明函》与实际情况不符的，供应商未按采购文件要求提供国家确定的认证机构出具的、处于有效期之内的产品认证证书的，不享受中小企业扶持政策。声明内容不实的，属于提供虚假材料谋取中标、成交的，依法承担法律责任。</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.3.7中小企业享受扶持政策获得政府采购合同的，小微企业不得将合同分包给大中型企业，中型企业不得将合同分包给大型企业。</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.4支持创新发展</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.4.1 采购人优先采购被认定为首台套产品和“制造精品”的自主创新产品。</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.4.2</w:t>
      </w:r>
      <w:r>
        <w:rPr>
          <w:rFonts w:hint="eastAsia" w:ascii="宋体" w:cs="宋体"/>
          <w:b/>
          <w:bCs/>
          <w:sz w:val="21"/>
          <w:szCs w:val="21"/>
          <w:highlight w:val="none"/>
          <w:lang w:bidi="ar"/>
        </w:rPr>
        <w:t>首台套产品被纳入《首台套产品推广应用指导目录》之日起3年内，以及产品核心技术高于国内领先水平，并具有明晰自主知识产权的“制造精品”产品，自认定之日起3年内视同已具备相应销售业绩，参加政府采购活动时业绩分值为满分</w:t>
      </w:r>
      <w:r>
        <w:rPr>
          <w:rFonts w:hint="eastAsia" w:ascii="宋体" w:cs="宋体"/>
          <w:sz w:val="21"/>
          <w:szCs w:val="21"/>
          <w:highlight w:val="none"/>
          <w:lang w:bidi="ar"/>
        </w:rPr>
        <w:t>。</w:t>
      </w:r>
    </w:p>
    <w:p>
      <w:pPr>
        <w:pStyle w:val="43"/>
        <w:adjustRightInd w:val="0"/>
        <w:snapToGrid w:val="0"/>
        <w:spacing w:before="0" w:beforeAutospacing="0" w:after="0" w:afterAutospacing="0" w:line="500" w:lineRule="exact"/>
        <w:ind w:firstLine="420" w:firstLineChars="200"/>
        <w:rPr>
          <w:rFonts w:ascii="宋体" w:cs="宋体"/>
          <w:sz w:val="21"/>
          <w:szCs w:val="21"/>
          <w:highlight w:val="none"/>
          <w:lang w:bidi="ar"/>
        </w:rPr>
      </w:pPr>
      <w:r>
        <w:rPr>
          <w:rFonts w:hint="eastAsia" w:ascii="宋体" w:cs="宋体"/>
          <w:sz w:val="21"/>
          <w:szCs w:val="21"/>
          <w:highlight w:val="none"/>
          <w:lang w:val="en" w:bidi="ar"/>
        </w:rPr>
        <w:t>1</w:t>
      </w:r>
      <w:r>
        <w:rPr>
          <w:rFonts w:hint="eastAsia" w:ascii="宋体" w:cs="宋体"/>
          <w:sz w:val="21"/>
          <w:szCs w:val="21"/>
          <w:highlight w:val="none"/>
          <w:lang w:bidi="ar"/>
        </w:rPr>
        <w:t>.5中小企业信用融资：为支持和促进中小企业发展，进一步发挥政府采购政策功能， 省财政厅、浙江银监局、省金融办制定了《浙江省政府采购支持中小企业信用融资试点办法》浙财采监[2012]13号)，所称的政府采购信用融资，是指银行业金融机构(以下简称银行)以政府采购诚信考核和信用审查为基础，凭借政府采购合同，按优于一般中小企业的贷款利率直接向申请贷款的投标人发放贷款的一种融资方式。投标人可登录浙江政府采购(https://zfcg. czt.zj. gov.cn/)的中小企业信用融资栏目了解相关信息。 供应商可以通过浙江政府采购网(https://zfcg. czt.zj. gov.cn/)首页的“浙江政采贷”模块进入申请，还可以通过政府采购云平台(https://wwwzcygov.cn/)首页的“金融服务”模块进入申请。</w:t>
      </w:r>
    </w:p>
    <w:p>
      <w:pPr>
        <w:autoSpaceDE/>
        <w:autoSpaceDN/>
        <w:adjustRightInd/>
        <w:snapToGrid w:val="0"/>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四、评标内容及标准</w:t>
      </w:r>
    </w:p>
    <w:p>
      <w:pPr>
        <w:autoSpaceDE/>
        <w:autoSpaceDN/>
        <w:adjustRightInd/>
        <w:spacing w:line="460" w:lineRule="exact"/>
        <w:ind w:firstLine="422" w:firstLineChars="200"/>
        <w:jc w:val="both"/>
        <w:rPr>
          <w:rFonts w:hAnsi="宋体" w:cs="宋体"/>
          <w:b/>
          <w:sz w:val="21"/>
          <w:szCs w:val="21"/>
          <w:highlight w:val="none"/>
        </w:rPr>
      </w:pPr>
      <w:r>
        <w:rPr>
          <w:rFonts w:hint="eastAsia" w:hAnsi="宋体" w:cs="宋体"/>
          <w:b/>
          <w:sz w:val="21"/>
          <w:szCs w:val="21"/>
          <w:highlight w:val="none"/>
        </w:rPr>
        <w:t>（一）价格分（15分）</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1.价格分采用低价优先法计算，即：以满足招标文件要求且进行了政策性价格扣除后，以评审价格的最低价者定为评标基准价，其价格分为满分。其他投标人的价格分统一按照下列公式计算：</w:t>
      </w:r>
    </w:p>
    <w:p>
      <w:pPr>
        <w:autoSpaceDE/>
        <w:autoSpaceDN/>
        <w:adjustRightInd/>
        <w:spacing w:line="460" w:lineRule="exact"/>
        <w:ind w:firstLine="422" w:firstLineChars="200"/>
        <w:jc w:val="both"/>
        <w:rPr>
          <w:rFonts w:hAnsi="宋体" w:cs="宋体"/>
          <w:b/>
          <w:sz w:val="21"/>
          <w:szCs w:val="21"/>
          <w:highlight w:val="none"/>
        </w:rPr>
      </w:pPr>
      <w:r>
        <w:rPr>
          <w:rFonts w:hint="eastAsia" w:hAnsi="宋体" w:cs="宋体"/>
          <w:b/>
          <w:sz w:val="21"/>
          <w:szCs w:val="21"/>
          <w:highlight w:val="none"/>
        </w:rPr>
        <w:t xml:space="preserve">其他投标人的价格分=（评标基准价/投标人评审价格）×15%×100 </w:t>
      </w:r>
    </w:p>
    <w:p>
      <w:pPr>
        <w:autoSpaceDE/>
        <w:autoSpaceDN/>
        <w:adjustRightInd/>
        <w:spacing w:line="460" w:lineRule="exact"/>
        <w:ind w:firstLine="420" w:firstLineChars="200"/>
        <w:jc w:val="both"/>
        <w:rPr>
          <w:rFonts w:hAnsi="宋体" w:cs="宋体"/>
          <w:sz w:val="21"/>
          <w:szCs w:val="21"/>
          <w:highlight w:val="none"/>
        </w:rPr>
      </w:pPr>
      <w:r>
        <w:rPr>
          <w:rFonts w:hint="eastAsia" w:hAnsi="宋体" w:cs="宋体"/>
          <w:sz w:val="21"/>
          <w:szCs w:val="21"/>
          <w:highlight w:val="none"/>
        </w:rPr>
        <w:t>价格评审过程中，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在有效投标人数满足法定人数的前提下，评标委员会依次确定满足招标文件要求且评审价格最低的有效投标报价为评标基准价。</w:t>
      </w:r>
    </w:p>
    <w:p>
      <w:pPr>
        <w:autoSpaceDE/>
        <w:autoSpaceDN/>
        <w:adjustRightInd/>
        <w:spacing w:line="460" w:lineRule="exact"/>
        <w:ind w:firstLine="422" w:firstLineChars="200"/>
        <w:jc w:val="both"/>
        <w:rPr>
          <w:rFonts w:hAnsi="宋体" w:cs="宋体"/>
          <w:b/>
          <w:sz w:val="21"/>
          <w:szCs w:val="21"/>
          <w:highlight w:val="none"/>
        </w:rPr>
      </w:pPr>
      <w:r>
        <w:rPr>
          <w:rFonts w:hint="eastAsia" w:hAnsi="宋体" w:cs="宋体"/>
          <w:b/>
          <w:sz w:val="21"/>
          <w:szCs w:val="21"/>
          <w:highlight w:val="none"/>
        </w:rPr>
        <w:t>2.</w:t>
      </w:r>
      <w:r>
        <w:rPr>
          <w:rFonts w:hint="eastAsia" w:hAnsi="宋体" w:cs="宋体"/>
          <w:b/>
          <w:bCs/>
          <w:sz w:val="21"/>
          <w:szCs w:val="21"/>
          <w:highlight w:val="none"/>
        </w:rPr>
        <w:t>投标人的投标报价超过采购人设定的上限价（即：预算金额</w:t>
      </w:r>
      <w:r>
        <w:rPr>
          <w:rFonts w:hint="eastAsia" w:hAnsi="宋体" w:cs="宋体"/>
          <w:b/>
          <w:bCs/>
          <w:sz w:val="21"/>
          <w:szCs w:val="21"/>
          <w:highlight w:val="none"/>
          <w:lang w:eastAsia="zh-CN"/>
        </w:rPr>
        <w:t>220万元</w:t>
      </w:r>
      <w:r>
        <w:rPr>
          <w:rFonts w:hint="eastAsia" w:hAnsi="宋体" w:cs="宋体"/>
          <w:b/>
          <w:bCs/>
          <w:sz w:val="21"/>
          <w:szCs w:val="21"/>
          <w:highlight w:val="none"/>
        </w:rPr>
        <w:t>），按投标无效处理。</w:t>
      </w:r>
    </w:p>
    <w:p>
      <w:pPr>
        <w:autoSpaceDE/>
        <w:autoSpaceDN/>
        <w:adjustRightInd/>
        <w:spacing w:line="460" w:lineRule="exact"/>
        <w:ind w:firstLine="422" w:firstLineChars="200"/>
        <w:jc w:val="both"/>
        <w:rPr>
          <w:rFonts w:hAnsi="宋体" w:cs="宋体"/>
          <w:b/>
          <w:bCs/>
          <w:sz w:val="21"/>
          <w:szCs w:val="21"/>
          <w:highlight w:val="none"/>
        </w:rPr>
      </w:pPr>
      <w:r>
        <w:rPr>
          <w:rFonts w:hint="eastAsia" w:hAnsi="宋体" w:cs="宋体"/>
          <w:b/>
          <w:sz w:val="21"/>
          <w:szCs w:val="21"/>
          <w:highlight w:val="none"/>
        </w:rPr>
        <w:t>3.</w:t>
      </w:r>
      <w:r>
        <w:rPr>
          <w:rFonts w:hint="eastAsia" w:hAnsi="宋体" w:cs="宋体"/>
          <w:b/>
          <w:bCs/>
          <w:sz w:val="21"/>
          <w:szCs w:val="21"/>
          <w:highlight w:val="none"/>
        </w:rPr>
        <w:t>依照《政府采购促进中小企业发展管理办法》、《浙江省财政厅关于进一步发挥政府采购政策功能全力推动经济稳进提质的通知》 （浙财采监〔2022〕3号）、《浙江省财政厅关于进一步加大政府采购支持中小企业力度 助力扎实稳住经济的通知》（浙财采监〔2022〕8号）、《财政部 民政部 中国残疾人联合会关于促进残疾人就业政府采购政策的通知》（财库〔2017〕141号）、《财政部、司法部关于政府采购支持监狱企业发展有关问题的通知》（财库〔2014〕68号）的规定，对符合相关要求的有效投标人，按照以下比例给予相应的价格扣除，以确定该投标人的报价评审价格：</w:t>
      </w:r>
    </w:p>
    <w:tbl>
      <w:tblPr>
        <w:tblStyle w:val="46"/>
        <w:tblW w:w="9165" w:type="dxa"/>
        <w:jc w:val="center"/>
        <w:tblLayout w:type="fixed"/>
        <w:tblCellMar>
          <w:top w:w="0" w:type="dxa"/>
          <w:left w:w="108" w:type="dxa"/>
          <w:bottom w:w="0" w:type="dxa"/>
          <w:right w:w="108" w:type="dxa"/>
        </w:tblCellMar>
      </w:tblPr>
      <w:tblGrid>
        <w:gridCol w:w="728"/>
        <w:gridCol w:w="3911"/>
        <w:gridCol w:w="1543"/>
        <w:gridCol w:w="2983"/>
      </w:tblGrid>
      <w:tr>
        <w:tblPrEx>
          <w:tblCellMar>
            <w:top w:w="0" w:type="dxa"/>
            <w:left w:w="108" w:type="dxa"/>
            <w:bottom w:w="0" w:type="dxa"/>
            <w:right w:w="108" w:type="dxa"/>
          </w:tblCellMar>
        </w:tblPrEx>
        <w:trPr>
          <w:jc w:val="center"/>
        </w:trPr>
        <w:tc>
          <w:tcPr>
            <w:tcW w:w="728" w:type="dxa"/>
            <w:tcBorders>
              <w:top w:val="single" w:color="000000" w:sz="6" w:space="0"/>
              <w:left w:val="single" w:color="000000" w:sz="6" w:space="0"/>
              <w:bottom w:val="single" w:color="000000" w:sz="6" w:space="0"/>
              <w:right w:val="single" w:color="000000" w:sz="6" w:space="0"/>
            </w:tcBorders>
            <w:shd w:val="clear" w:color="auto" w:fill="F3F3F3"/>
            <w:tcMar>
              <w:top w:w="0" w:type="dxa"/>
              <w:left w:w="0" w:type="dxa"/>
              <w:bottom w:w="0" w:type="dxa"/>
              <w:right w:w="0" w:type="dxa"/>
            </w:tcMar>
            <w:vAlign w:val="center"/>
          </w:tcPr>
          <w:p>
            <w:pPr>
              <w:snapToGrid w:val="0"/>
              <w:spacing w:line="460" w:lineRule="exact"/>
              <w:ind w:left="149"/>
              <w:jc w:val="both"/>
              <w:rPr>
                <w:rFonts w:hAnsi="宋体" w:cs="宋体"/>
                <w:sz w:val="21"/>
                <w:szCs w:val="21"/>
                <w:highlight w:val="none"/>
              </w:rPr>
            </w:pPr>
            <w:r>
              <w:rPr>
                <w:rFonts w:hint="eastAsia" w:hAnsi="宋体" w:cs="宋体"/>
                <w:spacing w:val="-1"/>
                <w:sz w:val="21"/>
                <w:szCs w:val="21"/>
                <w:highlight w:val="none"/>
              </w:rPr>
              <w:t>序号</w:t>
            </w:r>
          </w:p>
        </w:tc>
        <w:tc>
          <w:tcPr>
            <w:tcW w:w="3911" w:type="dxa"/>
            <w:tcBorders>
              <w:top w:val="single" w:color="000000" w:sz="6" w:space="0"/>
              <w:left w:val="nil"/>
              <w:bottom w:val="single" w:color="000000" w:sz="6" w:space="0"/>
              <w:right w:val="single" w:color="000000" w:sz="6" w:space="0"/>
            </w:tcBorders>
            <w:shd w:val="clear" w:color="auto" w:fill="F3F3F3"/>
            <w:tcMar>
              <w:top w:w="0" w:type="dxa"/>
              <w:left w:w="0" w:type="dxa"/>
              <w:bottom w:w="0" w:type="dxa"/>
              <w:right w:w="0" w:type="dxa"/>
            </w:tcMar>
            <w:vAlign w:val="center"/>
          </w:tcPr>
          <w:p>
            <w:pPr>
              <w:snapToGrid w:val="0"/>
              <w:spacing w:line="460" w:lineRule="exact"/>
              <w:jc w:val="center"/>
              <w:rPr>
                <w:rFonts w:hAnsi="宋体" w:cs="宋体"/>
                <w:sz w:val="21"/>
                <w:szCs w:val="21"/>
                <w:highlight w:val="none"/>
              </w:rPr>
            </w:pPr>
            <w:r>
              <w:rPr>
                <w:rFonts w:hint="eastAsia" w:hAnsi="宋体" w:cs="宋体"/>
                <w:spacing w:val="-1"/>
                <w:sz w:val="21"/>
                <w:szCs w:val="21"/>
                <w:highlight w:val="none"/>
              </w:rPr>
              <w:t>情形</w:t>
            </w:r>
          </w:p>
        </w:tc>
        <w:tc>
          <w:tcPr>
            <w:tcW w:w="1543" w:type="dxa"/>
            <w:tcBorders>
              <w:top w:val="single" w:color="000000" w:sz="6" w:space="0"/>
              <w:left w:val="nil"/>
              <w:bottom w:val="single" w:color="000000" w:sz="6" w:space="0"/>
              <w:right w:val="single" w:color="000000" w:sz="6" w:space="0"/>
            </w:tcBorders>
            <w:shd w:val="clear" w:color="auto" w:fill="F3F3F3"/>
            <w:tcMar>
              <w:top w:w="0" w:type="dxa"/>
              <w:left w:w="0" w:type="dxa"/>
              <w:bottom w:w="0" w:type="dxa"/>
              <w:right w:w="0" w:type="dxa"/>
            </w:tcMar>
            <w:vAlign w:val="center"/>
          </w:tcPr>
          <w:p>
            <w:pPr>
              <w:snapToGrid w:val="0"/>
              <w:spacing w:line="460" w:lineRule="exact"/>
              <w:jc w:val="center"/>
              <w:rPr>
                <w:rFonts w:hAnsi="宋体" w:cs="宋体"/>
                <w:sz w:val="21"/>
                <w:szCs w:val="21"/>
                <w:highlight w:val="none"/>
              </w:rPr>
            </w:pPr>
            <w:r>
              <w:rPr>
                <w:rFonts w:hint="eastAsia" w:hAnsi="宋体" w:cs="宋体"/>
                <w:spacing w:val="-1"/>
                <w:sz w:val="21"/>
                <w:szCs w:val="21"/>
                <w:highlight w:val="none"/>
              </w:rPr>
              <w:t>评审价格扣除比例</w:t>
            </w:r>
          </w:p>
        </w:tc>
        <w:tc>
          <w:tcPr>
            <w:tcW w:w="2983" w:type="dxa"/>
            <w:tcBorders>
              <w:top w:val="single" w:color="000000" w:sz="6" w:space="0"/>
              <w:left w:val="nil"/>
              <w:bottom w:val="single" w:color="000000" w:sz="6" w:space="0"/>
              <w:right w:val="single" w:color="000000" w:sz="6" w:space="0"/>
            </w:tcBorders>
            <w:shd w:val="clear" w:color="auto" w:fill="F3F3F3"/>
            <w:tcMar>
              <w:top w:w="0" w:type="dxa"/>
              <w:left w:w="0" w:type="dxa"/>
              <w:bottom w:w="0" w:type="dxa"/>
              <w:right w:w="0" w:type="dxa"/>
            </w:tcMar>
            <w:vAlign w:val="center"/>
          </w:tcPr>
          <w:p>
            <w:pPr>
              <w:snapToGrid w:val="0"/>
              <w:spacing w:line="460" w:lineRule="exact"/>
              <w:jc w:val="center"/>
              <w:rPr>
                <w:rFonts w:hAnsi="宋体" w:cs="宋体"/>
                <w:sz w:val="21"/>
                <w:szCs w:val="21"/>
                <w:highlight w:val="none"/>
              </w:rPr>
            </w:pPr>
            <w:r>
              <w:rPr>
                <w:rFonts w:hint="eastAsia" w:hAnsi="宋体" w:cs="宋体"/>
                <w:spacing w:val="-1"/>
                <w:sz w:val="21"/>
                <w:szCs w:val="21"/>
                <w:highlight w:val="none"/>
              </w:rPr>
              <w:t>计算公式</w:t>
            </w:r>
          </w:p>
        </w:tc>
      </w:tr>
      <w:tr>
        <w:tblPrEx>
          <w:tblCellMar>
            <w:top w:w="0" w:type="dxa"/>
            <w:left w:w="108" w:type="dxa"/>
            <w:bottom w:w="0" w:type="dxa"/>
            <w:right w:w="108" w:type="dxa"/>
          </w:tblCellMar>
        </w:tblPrEx>
        <w:trPr>
          <w:jc w:val="center"/>
        </w:trPr>
        <w:tc>
          <w:tcPr>
            <w:tcW w:w="728" w:type="dxa"/>
            <w:tcBorders>
              <w:top w:val="single" w:color="000000" w:sz="6" w:space="0"/>
              <w:left w:val="single" w:color="000000" w:sz="6" w:space="0"/>
              <w:bottom w:val="single" w:color="000000" w:sz="6" w:space="0"/>
              <w:right w:val="single" w:color="000000" w:sz="6" w:space="0"/>
            </w:tcBorders>
            <w:tcMar>
              <w:top w:w="0" w:type="dxa"/>
              <w:left w:w="0" w:type="dxa"/>
              <w:bottom w:w="0" w:type="dxa"/>
              <w:right w:w="0" w:type="dxa"/>
            </w:tcMar>
            <w:vAlign w:val="center"/>
          </w:tcPr>
          <w:p>
            <w:pPr>
              <w:snapToGrid w:val="0"/>
              <w:spacing w:line="460" w:lineRule="exact"/>
              <w:jc w:val="center"/>
              <w:rPr>
                <w:rFonts w:hAnsi="宋体" w:cs="宋体"/>
                <w:sz w:val="21"/>
                <w:szCs w:val="21"/>
                <w:highlight w:val="none"/>
              </w:rPr>
            </w:pPr>
            <w:r>
              <w:rPr>
                <w:rFonts w:hint="eastAsia" w:hAnsi="宋体" w:cs="宋体"/>
                <w:spacing w:val="-1"/>
                <w:sz w:val="21"/>
                <w:szCs w:val="21"/>
                <w:highlight w:val="none"/>
              </w:rPr>
              <w:t>1</w:t>
            </w:r>
          </w:p>
        </w:tc>
        <w:tc>
          <w:tcPr>
            <w:tcW w:w="3911"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pPr>
              <w:spacing w:line="460" w:lineRule="exact"/>
              <w:ind w:left="107"/>
              <w:rPr>
                <w:rFonts w:hAnsi="宋体" w:cs="宋体"/>
                <w:sz w:val="21"/>
                <w:szCs w:val="21"/>
                <w:highlight w:val="none"/>
              </w:rPr>
            </w:pPr>
            <w:r>
              <w:rPr>
                <w:rFonts w:hint="eastAsia" w:hAnsi="宋体" w:cs="宋体"/>
                <w:spacing w:val="-1"/>
                <w:sz w:val="21"/>
                <w:szCs w:val="21"/>
                <w:highlight w:val="none"/>
              </w:rPr>
              <w:t>投标人属于</w:t>
            </w:r>
            <w:r>
              <w:rPr>
                <w:rFonts w:hint="eastAsia" w:hAnsi="宋体" w:cs="宋体"/>
                <w:sz w:val="21"/>
                <w:szCs w:val="21"/>
                <w:highlight w:val="none"/>
              </w:rPr>
              <w:t>小型或微型</w:t>
            </w:r>
            <w:r>
              <w:rPr>
                <w:rFonts w:hint="eastAsia" w:hAnsi="宋体" w:cs="宋体"/>
                <w:spacing w:val="-1"/>
                <w:sz w:val="21"/>
                <w:szCs w:val="21"/>
                <w:highlight w:val="none"/>
              </w:rPr>
              <w:t>且服务全部</w:t>
            </w:r>
            <w:r>
              <w:rPr>
                <w:rFonts w:hint="eastAsia" w:hAnsi="宋体" w:cs="宋体"/>
                <w:sz w:val="21"/>
                <w:szCs w:val="21"/>
                <w:highlight w:val="none"/>
              </w:rPr>
              <w:t>由小型或微型企业承接，即提供服务的人员为小型或微型企业依照《中华人民共和国劳动合同法》订立劳动合同的从业人员</w:t>
            </w:r>
            <w:r>
              <w:rPr>
                <w:rFonts w:hint="eastAsia" w:hAnsi="宋体" w:cs="宋体"/>
                <w:spacing w:val="-1"/>
                <w:sz w:val="21"/>
                <w:szCs w:val="21"/>
                <w:highlight w:val="none"/>
              </w:rPr>
              <w:t>）</w:t>
            </w:r>
          </w:p>
        </w:tc>
        <w:tc>
          <w:tcPr>
            <w:tcW w:w="1543"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pPr>
              <w:snapToGrid w:val="0"/>
              <w:spacing w:line="460" w:lineRule="exact"/>
              <w:ind w:left="108"/>
              <w:jc w:val="center"/>
              <w:rPr>
                <w:rFonts w:hAnsi="宋体" w:cs="宋体"/>
                <w:sz w:val="21"/>
                <w:szCs w:val="21"/>
                <w:highlight w:val="none"/>
              </w:rPr>
            </w:pPr>
            <w:r>
              <w:rPr>
                <w:rFonts w:hint="eastAsia" w:hAnsi="宋体" w:cs="宋体"/>
                <w:spacing w:val="-1"/>
                <w:sz w:val="21"/>
                <w:szCs w:val="21"/>
                <w:highlight w:val="none"/>
              </w:rPr>
              <w:t>20%</w:t>
            </w:r>
          </w:p>
        </w:tc>
        <w:tc>
          <w:tcPr>
            <w:tcW w:w="2983" w:type="dxa"/>
            <w:tcBorders>
              <w:top w:val="single" w:color="000000" w:sz="6" w:space="0"/>
              <w:left w:val="nil"/>
              <w:bottom w:val="single" w:color="000000" w:sz="6" w:space="0"/>
              <w:right w:val="single" w:color="000000" w:sz="6" w:space="0"/>
            </w:tcBorders>
            <w:tcMar>
              <w:top w:w="0" w:type="dxa"/>
              <w:left w:w="0" w:type="dxa"/>
              <w:bottom w:w="0" w:type="dxa"/>
              <w:right w:w="0" w:type="dxa"/>
            </w:tcMar>
            <w:vAlign w:val="center"/>
          </w:tcPr>
          <w:p>
            <w:pPr>
              <w:snapToGrid w:val="0"/>
              <w:spacing w:line="460" w:lineRule="exact"/>
              <w:ind w:left="108"/>
              <w:jc w:val="center"/>
              <w:rPr>
                <w:rFonts w:hAnsi="宋体" w:cs="宋体"/>
                <w:sz w:val="21"/>
                <w:szCs w:val="21"/>
                <w:highlight w:val="none"/>
              </w:rPr>
            </w:pPr>
            <w:r>
              <w:rPr>
                <w:rFonts w:hint="eastAsia" w:hAnsi="宋体" w:cs="宋体"/>
                <w:spacing w:val="-1"/>
                <w:sz w:val="21"/>
                <w:szCs w:val="21"/>
                <w:highlight w:val="none"/>
              </w:rPr>
              <w:t>评审价格＝投标报价×(1-20%)</w:t>
            </w:r>
          </w:p>
        </w:tc>
      </w:tr>
    </w:tbl>
    <w:p>
      <w:pPr>
        <w:widowControl/>
        <w:shd w:val="clear" w:color="auto" w:fill="FFFFFF"/>
        <w:autoSpaceDE/>
        <w:autoSpaceDN/>
        <w:snapToGrid w:val="0"/>
        <w:spacing w:line="460" w:lineRule="exact"/>
        <w:ind w:firstLine="420" w:firstLineChars="200"/>
        <w:rPr>
          <w:rFonts w:hAnsi="宋体" w:cs="宋体"/>
          <w:highlight w:val="none"/>
        </w:rPr>
      </w:pPr>
      <w:r>
        <w:rPr>
          <w:rFonts w:hint="eastAsia" w:hAnsi="宋体" w:cs="宋体"/>
          <w:sz w:val="21"/>
          <w:szCs w:val="21"/>
          <w:highlight w:val="none"/>
        </w:rPr>
        <w:t>注：①</w:t>
      </w:r>
      <w:r>
        <w:rPr>
          <w:rFonts w:hint="eastAsia" w:hAnsi="宋体" w:cs="宋体"/>
          <w:kern w:val="2"/>
          <w:sz w:val="21"/>
          <w:szCs w:val="21"/>
          <w:highlight w:val="none"/>
        </w:rPr>
        <w:t>服务由大型或中型企业承接的，不享受以上评审价格扣除优惠；</w:t>
      </w:r>
      <w:r>
        <w:rPr>
          <w:rFonts w:hint="eastAsia" w:hAnsi="宋体" w:cs="宋体"/>
          <w:sz w:val="21"/>
          <w:szCs w:val="21"/>
          <w:highlight w:val="none"/>
        </w:rPr>
        <w:t>②“中小企业”是指在中华人民共和国境内依法设立，依据国务院批准的中小企业划分标准确定的中型企业、小型企业和微型企业，但与大企业的负责人为同一人，或者与大企业存在直接控股、管理关系的除外；本项目对应的中小企业划分标准所属行业为中小企业划型标准规定（工信部联企业〔</w:t>
      </w:r>
      <w:r>
        <w:rPr>
          <w:rFonts w:hAnsi="宋体" w:cs="宋体"/>
          <w:sz w:val="21"/>
          <w:szCs w:val="21"/>
          <w:highlight w:val="none"/>
        </w:rPr>
        <w:t>2011〕300号）中的“</w:t>
      </w:r>
      <w:r>
        <w:rPr>
          <w:rFonts w:hint="eastAsia" w:hAnsi="宋体" w:cs="宋体"/>
          <w:sz w:val="21"/>
          <w:szCs w:val="21"/>
          <w:highlight w:val="none"/>
        </w:rPr>
        <w:t>软件和信息技术服务业</w:t>
      </w:r>
      <w:r>
        <w:rPr>
          <w:rFonts w:hAnsi="宋体" w:cs="宋体"/>
          <w:sz w:val="21"/>
          <w:szCs w:val="21"/>
          <w:highlight w:val="none"/>
        </w:rPr>
        <w:t>”行业；③符合中小企业划分标准的个体工商户，在本项目采购活动中视同中小企业；④残疾人福利性单位或监狱企业视同小型、微型企业执行。</w:t>
      </w:r>
    </w:p>
    <w:p>
      <w:pPr>
        <w:numPr>
          <w:ilvl w:val="0"/>
          <w:numId w:val="5"/>
        </w:numPr>
        <w:autoSpaceDE/>
        <w:autoSpaceDN/>
        <w:adjustRightInd/>
        <w:spacing w:line="500" w:lineRule="exact"/>
        <w:ind w:firstLine="422" w:firstLineChars="200"/>
        <w:jc w:val="both"/>
        <w:rPr>
          <w:rFonts w:hAnsi="宋体" w:cs="宋体"/>
          <w:b/>
          <w:bCs/>
          <w:sz w:val="21"/>
          <w:szCs w:val="21"/>
          <w:highlight w:val="none"/>
        </w:rPr>
      </w:pPr>
      <w:r>
        <w:rPr>
          <w:rFonts w:hint="eastAsia" w:hAnsi="宋体" w:cs="宋体"/>
          <w:b/>
          <w:bCs/>
          <w:sz w:val="21"/>
          <w:szCs w:val="21"/>
          <w:highlight w:val="none"/>
        </w:rPr>
        <w:t>技术商务分（85分）</w:t>
      </w:r>
    </w:p>
    <w:tbl>
      <w:tblPr>
        <w:tblStyle w:val="4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599"/>
        <w:gridCol w:w="6585"/>
        <w:gridCol w:w="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36"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序号</w:t>
            </w:r>
          </w:p>
        </w:tc>
        <w:tc>
          <w:tcPr>
            <w:tcW w:w="841"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评审因素</w:t>
            </w:r>
          </w:p>
        </w:tc>
        <w:tc>
          <w:tcPr>
            <w:tcW w:w="3463"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评分细则</w:t>
            </w:r>
          </w:p>
        </w:tc>
        <w:tc>
          <w:tcPr>
            <w:tcW w:w="358"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36" w:type="pct"/>
            <w:shd w:val="clear" w:color="auto" w:fill="auto"/>
            <w:vAlign w:val="center"/>
          </w:tcPr>
          <w:p>
            <w:pPr>
              <w:snapToGrid w:val="0"/>
              <w:spacing w:line="460" w:lineRule="exact"/>
              <w:jc w:val="center"/>
              <w:rPr>
                <w:rFonts w:hAnsi="宋体" w:cs="宋体"/>
                <w:sz w:val="21"/>
                <w:szCs w:val="21"/>
                <w:highlight w:val="none"/>
              </w:rPr>
            </w:pPr>
            <w:bookmarkStart w:id="49" w:name="OLE_LINK1" w:colFirst="3" w:colLast="3"/>
            <w:r>
              <w:rPr>
                <w:rFonts w:hint="eastAsia" w:hAnsi="宋体" w:cs="宋体"/>
                <w:sz w:val="21"/>
                <w:szCs w:val="21"/>
                <w:highlight w:val="none"/>
              </w:rPr>
              <w:t>1</w:t>
            </w:r>
          </w:p>
        </w:tc>
        <w:tc>
          <w:tcPr>
            <w:tcW w:w="841"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投标货物的性能及技术指标</w:t>
            </w:r>
          </w:p>
        </w:tc>
        <w:tc>
          <w:tcPr>
            <w:tcW w:w="3463" w:type="pct"/>
            <w:shd w:val="clear" w:color="auto" w:fill="auto"/>
            <w:vAlign w:val="center"/>
          </w:tcPr>
          <w:p>
            <w:pPr>
              <w:snapToGrid w:val="0"/>
              <w:spacing w:line="460" w:lineRule="exact"/>
              <w:rPr>
                <w:rFonts w:hAnsi="宋体" w:cs="宋体"/>
                <w:sz w:val="21"/>
                <w:szCs w:val="21"/>
                <w:highlight w:val="none"/>
              </w:rPr>
            </w:pPr>
            <w:r>
              <w:rPr>
                <w:rFonts w:hint="eastAsia" w:hAnsi="宋体" w:cs="宋体"/>
                <w:sz w:val="21"/>
                <w:szCs w:val="21"/>
                <w:highlight w:val="none"/>
              </w:rPr>
              <w:t>所有指标满足招标需求的，得10分；允许偏离的指标低于招标需求（负偏离，或未按要求提供相关证明材料）的，“▲”项负偏离（或“▲”项未按要求提供相关证明材料）的每项扣</w:t>
            </w:r>
            <w:r>
              <w:rPr>
                <w:rFonts w:hint="eastAsia" w:hAnsi="宋体" w:cs="宋体"/>
                <w:sz w:val="21"/>
                <w:szCs w:val="21"/>
                <w:highlight w:val="none"/>
                <w:u w:val="single"/>
              </w:rPr>
              <w:t xml:space="preserve"> 1 </w:t>
            </w:r>
            <w:r>
              <w:rPr>
                <w:rFonts w:hint="eastAsia" w:hAnsi="宋体" w:cs="宋体"/>
                <w:sz w:val="21"/>
                <w:szCs w:val="21"/>
                <w:highlight w:val="none"/>
              </w:rPr>
              <w:t>分，其他项负偏离（或其他项未按要求提供相关证明材料）的每项扣</w:t>
            </w:r>
            <w:r>
              <w:rPr>
                <w:rFonts w:hint="eastAsia" w:hAnsi="宋体" w:cs="宋体"/>
                <w:sz w:val="21"/>
                <w:szCs w:val="21"/>
                <w:highlight w:val="none"/>
                <w:u w:val="single"/>
              </w:rPr>
              <w:t xml:space="preserve"> 0.5 </w:t>
            </w:r>
            <w:r>
              <w:rPr>
                <w:rFonts w:hint="eastAsia" w:hAnsi="宋体" w:cs="宋体"/>
                <w:sz w:val="21"/>
                <w:szCs w:val="21"/>
                <w:highlight w:val="none"/>
              </w:rPr>
              <w:t>分；实质性指标不允许负偏离，否则投标无效。</w:t>
            </w:r>
          </w:p>
        </w:tc>
        <w:tc>
          <w:tcPr>
            <w:tcW w:w="358"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安装、调试、验收的方案</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根据投标人提供“中心存储”涉及相关设备的安装、调试、验收的方案的科学、合理、可操作性进行打分的，得5分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3</w:t>
            </w:r>
          </w:p>
        </w:tc>
        <w:tc>
          <w:tcPr>
            <w:tcW w:w="841" w:type="pct"/>
            <w:vMerge w:val="restar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运维能力</w:t>
            </w:r>
          </w:p>
        </w:tc>
        <w:tc>
          <w:tcPr>
            <w:tcW w:w="3463" w:type="pct"/>
            <w:shd w:val="clear" w:color="auto" w:fill="auto"/>
            <w:vAlign w:val="center"/>
          </w:tcPr>
          <w:p>
            <w:pPr>
              <w:snapToGrid w:val="0"/>
              <w:spacing w:line="460" w:lineRule="exact"/>
              <w:rPr>
                <w:rFonts w:hAnsi="宋体" w:cs="宋体"/>
                <w:sz w:val="21"/>
                <w:szCs w:val="21"/>
                <w:highlight w:val="none"/>
              </w:rPr>
            </w:pPr>
            <w:r>
              <w:rPr>
                <w:rFonts w:hint="eastAsia" w:hAnsi="宋体" w:cs="宋体"/>
                <w:sz w:val="21"/>
                <w:szCs w:val="21"/>
                <w:highlight w:val="none"/>
              </w:rPr>
              <w:t>根据投标人对采购人的网络架构、设备情况、应用环境等了解熟悉程度进行打分，本项最高得5分，有欠缺或者缺漏或不合理的每处扣0.5分，扣完为止。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4</w:t>
            </w:r>
          </w:p>
        </w:tc>
        <w:tc>
          <w:tcPr>
            <w:tcW w:w="841" w:type="pct"/>
            <w:vMerge w:val="continue"/>
            <w:shd w:val="clear" w:color="auto" w:fill="auto"/>
            <w:vAlign w:val="center"/>
          </w:tcPr>
          <w:p>
            <w:pPr>
              <w:snapToGrid w:val="0"/>
              <w:spacing w:line="460" w:lineRule="exact"/>
              <w:jc w:val="center"/>
              <w:rPr>
                <w:rFonts w:hAnsi="宋体" w:cs="宋体"/>
                <w:color w:val="000000"/>
                <w:sz w:val="21"/>
                <w:szCs w:val="21"/>
                <w:highlight w:val="none"/>
              </w:rPr>
            </w:pPr>
          </w:p>
        </w:tc>
        <w:tc>
          <w:tcPr>
            <w:tcW w:w="3463" w:type="pct"/>
            <w:shd w:val="clear" w:color="auto" w:fill="auto"/>
            <w:vAlign w:val="center"/>
          </w:tcPr>
          <w:p>
            <w:pPr>
              <w:snapToGrid w:val="0"/>
              <w:spacing w:line="460" w:lineRule="exact"/>
              <w:rPr>
                <w:rFonts w:hAnsi="宋体" w:cs="宋体"/>
                <w:sz w:val="21"/>
                <w:szCs w:val="21"/>
                <w:highlight w:val="none"/>
              </w:rPr>
            </w:pPr>
            <w:r>
              <w:rPr>
                <w:rFonts w:hint="eastAsia" w:hAnsi="宋体" w:cs="宋体"/>
                <w:sz w:val="21"/>
                <w:szCs w:val="21"/>
                <w:highlight w:val="none"/>
              </w:rPr>
              <w:t>根据投标人对本项目相关设施维护和保养中的常见问题与解决方案等进行打分，本项最高得5分，有欠缺或者缺漏或不合理的每处扣0.5分，扣完为止。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c>
          <w:tcPr>
            <w:tcW w:w="841" w:type="pct"/>
            <w:vMerge w:val="restar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运行维护服务方案</w:t>
            </w:r>
          </w:p>
        </w:tc>
        <w:tc>
          <w:tcPr>
            <w:tcW w:w="3463" w:type="pct"/>
            <w:shd w:val="clear" w:color="auto" w:fill="auto"/>
            <w:vAlign w:val="center"/>
          </w:tcPr>
          <w:p>
            <w:pPr>
              <w:snapToGrid w:val="0"/>
              <w:spacing w:line="460" w:lineRule="exact"/>
              <w:jc w:val="both"/>
              <w:rPr>
                <w:rFonts w:hAnsi="宋体" w:cs="宋体"/>
                <w:sz w:val="21"/>
                <w:szCs w:val="21"/>
                <w:highlight w:val="none"/>
              </w:rPr>
            </w:pPr>
            <w:r>
              <w:rPr>
                <w:rFonts w:hint="eastAsia" w:hAnsi="宋体" w:cs="宋体"/>
                <w:sz w:val="21"/>
                <w:szCs w:val="21"/>
                <w:highlight w:val="none"/>
              </w:rPr>
              <w:t>根据投标人针对本项目的整体运行维护服务方案（含设备质保服务方案）是否符合用户需求，方案设计科学、合理、可靠、可管理打分，最高得5分。有不合理的或者欠缺的每项扣</w:t>
            </w:r>
            <w:r>
              <w:rPr>
                <w:rFonts w:hint="eastAsia" w:hAnsi="宋体" w:cs="宋体"/>
                <w:sz w:val="21"/>
                <w:szCs w:val="21"/>
                <w:highlight w:val="none"/>
                <w:lang w:val="en-US" w:eastAsia="zh-CN"/>
              </w:rPr>
              <w:t>0.5</w:t>
            </w:r>
            <w:r>
              <w:rPr>
                <w:rFonts w:hint="eastAsia" w:hAnsi="宋体" w:cs="宋体"/>
                <w:sz w:val="21"/>
                <w:szCs w:val="21"/>
                <w:highlight w:val="none"/>
              </w:rPr>
              <w:t>分，扣完为止。</w:t>
            </w:r>
          </w:p>
        </w:tc>
        <w:tc>
          <w:tcPr>
            <w:tcW w:w="358"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336" w:type="pct"/>
            <w:shd w:val="clear" w:color="auto" w:fill="auto"/>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6</w:t>
            </w:r>
          </w:p>
        </w:tc>
        <w:tc>
          <w:tcPr>
            <w:tcW w:w="841" w:type="pct"/>
            <w:vMerge w:val="continue"/>
            <w:shd w:val="clear" w:color="auto" w:fill="auto"/>
            <w:vAlign w:val="center"/>
          </w:tcPr>
          <w:p>
            <w:pPr>
              <w:snapToGrid w:val="0"/>
              <w:spacing w:line="460" w:lineRule="exact"/>
              <w:jc w:val="center"/>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投标人服务响应和故障排除、维护及保养措施、包括服务热线电话和质量投诉电话、售后服务网点设置及人员情况应急措施等；本项最高得6分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7</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确保信息系统正常运行的运维质量保证措施及承诺，本项最高得6分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8</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应急预案：根据投标人针对本项目的突发应急事件的处理预案是否合理、及时有效打分，本项最高得5分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9</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根据针对本项目的维护实施计划所投入的维护设备、专用工具、专业人员、交通工具等情况和详细实施方案进行打分，本项最高得5分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10</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对采购人的维保服务各系统相关设备配备关键部件和备品备件的完备情况进行评定，本项最高得5分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11</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根据投标人针对本项目技术人员培训方案、岗位责任及考核制度的全面性、合理性、可实施性进行打分，本项最高得5分</w:t>
            </w:r>
            <w:r>
              <w:rPr>
                <w:rFonts w:hint="eastAsia" w:hAnsi="宋体" w:cs="宋体"/>
                <w:sz w:val="21"/>
                <w:szCs w:val="21"/>
                <w:highlight w:val="none"/>
              </w:rPr>
              <w:t>，有欠缺或者缺漏或不合理的每处扣0.5分，扣完为止。</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336" w:type="pct"/>
            <w:vAlign w:val="center"/>
          </w:tcPr>
          <w:p>
            <w:pPr>
              <w:snapToGrid w:val="0"/>
              <w:spacing w:line="460" w:lineRule="exact"/>
              <w:jc w:val="center"/>
              <w:rPr>
                <w:rFonts w:hAnsi="宋体" w:cs="宋体"/>
                <w:sz w:val="21"/>
                <w:szCs w:val="21"/>
                <w:highlight w:val="none"/>
              </w:rPr>
            </w:pPr>
            <w:r>
              <w:rPr>
                <w:rFonts w:hint="eastAsia" w:hAnsi="宋体" w:cs="宋体"/>
                <w:sz w:val="21"/>
                <w:szCs w:val="21"/>
                <w:highlight w:val="none"/>
              </w:rPr>
              <w:t>12</w:t>
            </w:r>
          </w:p>
        </w:tc>
        <w:tc>
          <w:tcPr>
            <w:tcW w:w="841" w:type="pct"/>
            <w:vMerge w:val="continue"/>
            <w:vAlign w:val="center"/>
          </w:tcPr>
          <w:p>
            <w:pPr>
              <w:snapToGrid w:val="0"/>
              <w:spacing w:line="460" w:lineRule="exact"/>
              <w:rPr>
                <w:rFonts w:hAnsi="宋体" w:cs="宋体"/>
                <w:sz w:val="21"/>
                <w:szCs w:val="21"/>
                <w:highlight w:val="none"/>
              </w:rPr>
            </w:pP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根据投标人针对本项目提供的相关优惠条件或合理化建议进行打分，经评标委员会和采购人代表认可且有实际效用的，每一优惠条件或和合理化建议得0.5分，本项最高得3分</w:t>
            </w:r>
            <w:r>
              <w:rPr>
                <w:rFonts w:hint="eastAsia" w:hAnsi="宋体" w:cs="宋体"/>
                <w:sz w:val="21"/>
                <w:szCs w:val="21"/>
                <w:highlight w:val="none"/>
              </w:rPr>
              <w:t>。</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13</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企业资质</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投标人具有有效期内的智能化质量管理体系认证得1分；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具有有效期内的环境管理体系认证得1分；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具有有效期内的职业健康安全管理体系认证得1分；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具有有效期内的服务管理体系认证得1分。</w:t>
            </w:r>
            <w:r>
              <w:rPr>
                <w:rFonts w:hint="eastAsia" w:hAnsi="宋体" w:cs="宋体"/>
                <w:color w:val="000000"/>
                <w:sz w:val="21"/>
                <w:szCs w:val="21"/>
                <w:highlight w:val="none"/>
              </w:rPr>
              <w:br w:type="textWrapping"/>
            </w:r>
            <w:r>
              <w:rPr>
                <w:rFonts w:hint="eastAsia" w:hAnsi="宋体" w:cs="宋体"/>
                <w:color w:val="000000"/>
                <w:sz w:val="21"/>
                <w:szCs w:val="21"/>
                <w:highlight w:val="none"/>
              </w:rPr>
              <w:t>投标文件中提供相关证书复印件。</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14</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投标人情况</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具有信息化工程与技术服务能力评价证书一级得1分；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具有省级安全技术防范行业资信一级证书得1分；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具有ITSS证书的得1分；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具有信息系统建设和服务能力等级证书，CS4及以上得1分；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具有通信网络安全服务能力评定一级证书的得1分。</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15</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成功案例</w:t>
            </w:r>
          </w:p>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及业绩</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投标人自2019年1月1日以来（以合同签订时间为准）具有同类项目业绩的，得1分。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投标文件中提供合同复印件证明，提供合同复印件证明案例有效性由评标专家组认定，未提供不得分。</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16</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保证项目实施的技术力量和人力资源安排</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1.项目经理具有信息系统项目管理师（高级）的得1分，国家信息安全测评注册信息安全专业人员证书的得1分，最高得2分；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2.技术负责人具有IT服务工程师证书的得1分，国家信息安全测评注册信息安全专业人员证书的得1分，最高得2分；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3.项目组成员具</w:t>
            </w:r>
            <w:r>
              <w:rPr>
                <w:rFonts w:hint="eastAsia" w:hAnsi="宋体" w:cs="宋体"/>
                <w:sz w:val="21"/>
                <w:szCs w:val="21"/>
                <w:highlight w:val="none"/>
              </w:rPr>
              <w:t>有</w:t>
            </w:r>
            <w:r>
              <w:rPr>
                <w:rFonts w:hint="eastAsia" w:hAnsi="宋体" w:cs="宋体"/>
                <w:color w:val="000000"/>
                <w:sz w:val="21"/>
                <w:szCs w:val="21"/>
                <w:highlight w:val="none"/>
              </w:rPr>
              <w:t>信息系统项目管理师（高级）的</w:t>
            </w:r>
            <w:r>
              <w:rPr>
                <w:rFonts w:hint="eastAsia" w:hAnsi="宋体" w:cs="宋体"/>
                <w:sz w:val="21"/>
                <w:szCs w:val="21"/>
                <w:highlight w:val="none"/>
              </w:rPr>
              <w:t>得1分，</w:t>
            </w:r>
            <w:r>
              <w:rPr>
                <w:rFonts w:hint="eastAsia" w:hAnsi="宋体" w:cs="宋体"/>
                <w:color w:val="000000"/>
                <w:sz w:val="21"/>
                <w:szCs w:val="21"/>
                <w:highlight w:val="none"/>
              </w:rPr>
              <w:t>具</w:t>
            </w:r>
            <w:r>
              <w:rPr>
                <w:rFonts w:hint="eastAsia" w:hAnsi="宋体" w:cs="宋体"/>
                <w:sz w:val="21"/>
                <w:szCs w:val="21"/>
                <w:highlight w:val="none"/>
              </w:rPr>
              <w:t>有</w:t>
            </w:r>
            <w:r>
              <w:rPr>
                <w:rFonts w:hint="eastAsia" w:hAnsi="宋体" w:cs="宋体"/>
                <w:color w:val="000000"/>
                <w:sz w:val="21"/>
                <w:szCs w:val="21"/>
                <w:highlight w:val="none"/>
              </w:rPr>
              <w:t>IT服务项目经理证书的</w:t>
            </w:r>
            <w:r>
              <w:rPr>
                <w:rFonts w:hint="eastAsia" w:hAnsi="宋体" w:cs="宋体"/>
                <w:sz w:val="21"/>
                <w:szCs w:val="21"/>
                <w:highlight w:val="none"/>
              </w:rPr>
              <w:t>得1分，IT服务工程师的得1分，中级电工及以上证书的得1分。最</w:t>
            </w:r>
            <w:r>
              <w:rPr>
                <w:rFonts w:hint="eastAsia" w:hAnsi="宋体" w:cs="宋体"/>
                <w:color w:val="000000"/>
                <w:sz w:val="21"/>
                <w:szCs w:val="21"/>
                <w:highlight w:val="none"/>
              </w:rPr>
              <w:t>高得4分，重复提供不得分。</w:t>
            </w:r>
          </w:p>
          <w:p>
            <w:pPr>
              <w:snapToGrid w:val="0"/>
              <w:spacing w:line="460" w:lineRule="exact"/>
              <w:rPr>
                <w:rFonts w:hAnsi="宋体" w:cs="宋体"/>
                <w:color w:val="000000"/>
                <w:sz w:val="21"/>
                <w:szCs w:val="21"/>
                <w:highlight w:val="none"/>
              </w:rPr>
            </w:pPr>
            <w:r>
              <w:rPr>
                <w:rFonts w:hint="eastAsia" w:hAnsi="宋体" w:cs="宋体"/>
                <w:color w:val="000000"/>
                <w:sz w:val="21"/>
                <w:szCs w:val="21"/>
                <w:highlight w:val="none"/>
              </w:rPr>
              <w:t>（须提供资质证书复印件及社保证明，未提供不得分）</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336"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17</w:t>
            </w:r>
          </w:p>
        </w:tc>
        <w:tc>
          <w:tcPr>
            <w:tcW w:w="841"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政策分</w:t>
            </w:r>
          </w:p>
        </w:tc>
        <w:tc>
          <w:tcPr>
            <w:tcW w:w="3463" w:type="pct"/>
            <w:shd w:val="clear" w:color="auto" w:fill="auto"/>
            <w:vAlign w:val="center"/>
          </w:tcPr>
          <w:p>
            <w:pPr>
              <w:snapToGrid w:val="0"/>
              <w:spacing w:line="460" w:lineRule="exact"/>
              <w:rPr>
                <w:rFonts w:hAnsi="宋体" w:cs="宋体"/>
                <w:color w:val="000000"/>
                <w:sz w:val="21"/>
                <w:szCs w:val="21"/>
                <w:highlight w:val="none"/>
              </w:rPr>
            </w:pPr>
            <w:r>
              <w:rPr>
                <w:rFonts w:hint="eastAsia" w:hAnsi="宋体" w:cs="宋体"/>
                <w:sz w:val="21"/>
                <w:szCs w:val="21"/>
                <w:highlight w:val="none"/>
              </w:rPr>
              <w:t>投标人符合《政府采购货物和服务招标投标管理办法》第五条规定，属“节约能源、保护环境、扶持不发达地区和少数民族地区等”政府采购政策扶持对象的（注：“促进中小企业发展”政府采购政策评审时将在“报价分”中进行政策性价格扣除，此处不予以计分），提供相关证明材料和政策依据，每符合一项得0.5分，最高可得2分；未提供相关证明材料的不得分。（提供相关证明材料和政策依据备查）</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2</w:t>
            </w:r>
          </w:p>
        </w:tc>
      </w:tr>
      <w:bookmarkEnd w:id="4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4641" w:type="pct"/>
            <w:gridSpan w:val="3"/>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合计</w:t>
            </w:r>
          </w:p>
        </w:tc>
        <w:tc>
          <w:tcPr>
            <w:tcW w:w="358" w:type="pct"/>
            <w:shd w:val="clear" w:color="auto" w:fill="auto"/>
            <w:vAlign w:val="center"/>
          </w:tcPr>
          <w:p>
            <w:pPr>
              <w:snapToGrid w:val="0"/>
              <w:spacing w:line="460" w:lineRule="exact"/>
              <w:jc w:val="center"/>
              <w:rPr>
                <w:rFonts w:hAnsi="宋体" w:cs="宋体"/>
                <w:color w:val="000000"/>
                <w:sz w:val="21"/>
                <w:szCs w:val="21"/>
                <w:highlight w:val="none"/>
              </w:rPr>
            </w:pPr>
            <w:r>
              <w:rPr>
                <w:rFonts w:hint="eastAsia" w:hAnsi="宋体" w:cs="宋体"/>
                <w:color w:val="000000"/>
                <w:sz w:val="21"/>
                <w:szCs w:val="21"/>
                <w:highlight w:val="none"/>
              </w:rPr>
              <w:t>85</w:t>
            </w:r>
          </w:p>
        </w:tc>
      </w:tr>
    </w:tbl>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（三）技术商务分的计算</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技术商务分按照评标委员会成员的独立评分结果汇总数后的算术平均分计算，计算公式为：</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技术商务分=（评标委员会所有成员评分合计数）/（评标委员会组成人员数）</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（四）定标原则</w:t>
      </w:r>
    </w:p>
    <w:p>
      <w:pPr>
        <w:tabs>
          <w:tab w:val="left" w:pos="0"/>
        </w:tabs>
        <w:snapToGrid w:val="0"/>
        <w:spacing w:line="500" w:lineRule="exact"/>
        <w:ind w:firstLine="420" w:firstLineChars="200"/>
        <w:rPr>
          <w:rFonts w:hAnsi="宋体" w:cs="宋体"/>
          <w:bCs/>
          <w:sz w:val="21"/>
          <w:szCs w:val="21"/>
          <w:highlight w:val="none"/>
        </w:rPr>
      </w:pPr>
      <w:r>
        <w:rPr>
          <w:rFonts w:hint="eastAsia" w:hAnsi="宋体" w:cs="宋体"/>
          <w:bCs/>
          <w:sz w:val="21"/>
          <w:szCs w:val="21"/>
          <w:highlight w:val="none"/>
        </w:rPr>
        <w:t>1.严格按照招标文件规定“综合评分法，得分最高者中标”的原则定标，法律法规或国家政策另有规定的从其规定。</w:t>
      </w:r>
    </w:p>
    <w:p>
      <w:pPr>
        <w:tabs>
          <w:tab w:val="left" w:pos="0"/>
        </w:tabs>
        <w:snapToGrid w:val="0"/>
        <w:spacing w:line="500" w:lineRule="exact"/>
        <w:ind w:firstLine="420" w:firstLineChars="200"/>
        <w:rPr>
          <w:rFonts w:hAnsi="宋体" w:cs="宋体"/>
          <w:bCs/>
          <w:sz w:val="21"/>
          <w:szCs w:val="21"/>
          <w:highlight w:val="none"/>
        </w:rPr>
      </w:pPr>
      <w:r>
        <w:rPr>
          <w:rFonts w:hint="eastAsia" w:hAnsi="宋体" w:cs="宋体"/>
          <w:bCs/>
          <w:sz w:val="21"/>
          <w:szCs w:val="21"/>
          <w:highlight w:val="none"/>
        </w:rPr>
        <w:t>2.经预中标结果公示期满无异议，中标候选人即成为中标人。</w:t>
      </w:r>
    </w:p>
    <w:p>
      <w:pPr>
        <w:autoSpaceDE/>
        <w:autoSpaceDN/>
        <w:adjustRightInd/>
        <w:spacing w:line="500" w:lineRule="exact"/>
        <w:ind w:firstLine="422" w:firstLineChars="200"/>
        <w:jc w:val="both"/>
        <w:rPr>
          <w:rFonts w:hAnsi="宋体" w:cs="宋体"/>
          <w:b/>
          <w:sz w:val="21"/>
          <w:szCs w:val="21"/>
          <w:highlight w:val="none"/>
        </w:rPr>
      </w:pPr>
      <w:r>
        <w:rPr>
          <w:rFonts w:hint="eastAsia" w:hAnsi="宋体" w:cs="宋体"/>
          <w:b/>
          <w:sz w:val="21"/>
          <w:szCs w:val="21"/>
          <w:highlight w:val="none"/>
        </w:rPr>
        <w:t>（五）保密及其他注意事项</w:t>
      </w:r>
    </w:p>
    <w:p>
      <w:pPr>
        <w:autoSpaceDE/>
        <w:autoSpaceDN/>
        <w:adjustRightInd/>
        <w:spacing w:line="500" w:lineRule="exact"/>
        <w:ind w:firstLine="420" w:firstLineChars="200"/>
        <w:jc w:val="both"/>
        <w:rPr>
          <w:rFonts w:hAnsi="宋体" w:cs="宋体"/>
          <w:bCs/>
          <w:sz w:val="21"/>
          <w:szCs w:val="21"/>
          <w:highlight w:val="none"/>
        </w:rPr>
      </w:pPr>
      <w:r>
        <w:rPr>
          <w:rFonts w:hint="eastAsia" w:hAnsi="宋体" w:cs="宋体"/>
          <w:bCs/>
          <w:sz w:val="21"/>
          <w:szCs w:val="21"/>
          <w:highlight w:val="none"/>
        </w:rPr>
        <w:t>1.评标是招标过程中的重要环节，评标工作在评委会成员内独立进行。评标委员会将遵照评标原则，公正、公平、客观地对待所有投标人。</w:t>
      </w:r>
    </w:p>
    <w:p>
      <w:pPr>
        <w:autoSpaceDE/>
        <w:autoSpaceDN/>
        <w:adjustRightInd/>
        <w:spacing w:line="500" w:lineRule="exact"/>
        <w:ind w:firstLine="420" w:firstLineChars="200"/>
        <w:jc w:val="both"/>
        <w:rPr>
          <w:rFonts w:hAnsi="宋体" w:cs="宋体"/>
          <w:bCs/>
          <w:sz w:val="21"/>
          <w:szCs w:val="21"/>
          <w:highlight w:val="none"/>
        </w:rPr>
      </w:pPr>
      <w:r>
        <w:rPr>
          <w:rFonts w:hint="eastAsia" w:hAnsi="宋体" w:cs="宋体"/>
          <w:bCs/>
          <w:sz w:val="21"/>
          <w:szCs w:val="21"/>
          <w:highlight w:val="none"/>
        </w:rPr>
        <w:t>2.在开标、评标期间，投标人不得向评委询问评标情况，不得进行旨在影响评标结果的活动。</w:t>
      </w:r>
    </w:p>
    <w:p>
      <w:pPr>
        <w:autoSpaceDE/>
        <w:autoSpaceDN/>
        <w:adjustRightInd/>
        <w:spacing w:line="500" w:lineRule="exact"/>
        <w:ind w:firstLine="420" w:firstLineChars="200"/>
        <w:jc w:val="both"/>
        <w:rPr>
          <w:rFonts w:hAnsi="宋体" w:cs="宋体"/>
          <w:b/>
          <w:kern w:val="2"/>
          <w:sz w:val="28"/>
          <w:szCs w:val="28"/>
          <w:highlight w:val="none"/>
        </w:rPr>
      </w:pPr>
      <w:r>
        <w:rPr>
          <w:rFonts w:hint="eastAsia" w:hAnsi="宋体" w:cs="宋体"/>
          <w:bCs/>
          <w:sz w:val="21"/>
          <w:szCs w:val="21"/>
          <w:highlight w:val="none"/>
        </w:rPr>
        <w:t>3.为保证定标的公正性，在评标过程中，评委不得与投标人私下交换意见。在招标工作结束后与评标工作有接触的任何人，不得将评标情况外泄。</w:t>
      </w:r>
      <w:bookmarkStart w:id="50" w:name="_Toc351559945"/>
    </w:p>
    <w:p>
      <w:pPr>
        <w:autoSpaceDE/>
        <w:autoSpaceDN/>
        <w:adjustRightInd/>
        <w:jc w:val="center"/>
        <w:outlineLvl w:val="0"/>
        <w:rPr>
          <w:rFonts w:hAnsi="宋体" w:cs="宋体"/>
          <w:sz w:val="30"/>
          <w:szCs w:val="30"/>
          <w:highlight w:val="none"/>
        </w:rPr>
      </w:pPr>
      <w:r>
        <w:rPr>
          <w:rFonts w:hint="eastAsia" w:hAnsi="宋体" w:cs="宋体"/>
          <w:b/>
          <w:kern w:val="2"/>
          <w:sz w:val="28"/>
          <w:szCs w:val="28"/>
          <w:highlight w:val="none"/>
        </w:rPr>
        <w:br w:type="page"/>
      </w:r>
      <w:r>
        <w:rPr>
          <w:rFonts w:hint="eastAsia" w:hAnsi="宋体" w:cs="宋体"/>
          <w:b/>
          <w:bCs/>
          <w:sz w:val="30"/>
          <w:szCs w:val="30"/>
          <w:highlight w:val="none"/>
        </w:rPr>
        <w:t>第五章  合同文本</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甲　  方：</w:t>
      </w:r>
      <w:r>
        <w:rPr>
          <w:rFonts w:hint="eastAsia" w:hAnsi="宋体" w:cs="宋体"/>
          <w:sz w:val="21"/>
          <w:szCs w:val="21"/>
          <w:highlight w:val="none"/>
          <w:u w:val="single"/>
        </w:rPr>
        <w:t xml:space="preserve">                       </w:t>
      </w:r>
      <w:r>
        <w:rPr>
          <w:rFonts w:hint="eastAsia" w:hAnsi="宋体" w:cs="宋体"/>
          <w:sz w:val="21"/>
          <w:szCs w:val="21"/>
          <w:highlight w:val="none"/>
        </w:rPr>
        <w:t>。</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乙　  方：</w:t>
      </w:r>
      <w:r>
        <w:rPr>
          <w:rFonts w:hint="eastAsia" w:hAnsi="宋体" w:cs="宋体"/>
          <w:sz w:val="21"/>
          <w:szCs w:val="21"/>
          <w:highlight w:val="none"/>
          <w:u w:val="single"/>
        </w:rPr>
        <w:t xml:space="preserve">                       </w:t>
      </w:r>
      <w:r>
        <w:rPr>
          <w:rFonts w:hint="eastAsia" w:hAnsi="宋体" w:cs="宋体"/>
          <w:sz w:val="21"/>
          <w:szCs w:val="21"/>
          <w:highlight w:val="none"/>
        </w:rPr>
        <w:t>。</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依据《中华人民共和国民法典》及</w:t>
      </w:r>
      <w:r>
        <w:rPr>
          <w:rFonts w:hint="eastAsia" w:hAnsi="宋体" w:cs="宋体"/>
          <w:sz w:val="21"/>
          <w:szCs w:val="21"/>
          <w:highlight w:val="none"/>
          <w:u w:val="single"/>
        </w:rPr>
        <w:t xml:space="preserve">            </w:t>
      </w:r>
      <w:r>
        <w:rPr>
          <w:rFonts w:hint="eastAsia" w:hAnsi="宋体" w:cs="宋体"/>
          <w:sz w:val="21"/>
          <w:szCs w:val="21"/>
          <w:highlight w:val="none"/>
        </w:rPr>
        <w:t>项目（编号：</w:t>
      </w:r>
      <w:r>
        <w:rPr>
          <w:rFonts w:hint="eastAsia" w:hAnsi="宋体" w:cs="宋体"/>
          <w:sz w:val="21"/>
          <w:szCs w:val="21"/>
          <w:highlight w:val="none"/>
          <w:u w:val="single"/>
        </w:rPr>
        <w:t xml:space="preserve">         </w:t>
      </w:r>
      <w:r>
        <w:rPr>
          <w:rFonts w:hint="eastAsia" w:hAnsi="宋体" w:cs="宋体"/>
          <w:sz w:val="21"/>
          <w:szCs w:val="21"/>
          <w:highlight w:val="none"/>
        </w:rPr>
        <w:t>）的公开招标结果，本着诚实守信、平等互利的原则，经甲、乙双方友好协商订立本合同：</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一、下列文件为本合同不可分割部分：</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1.中标通知书</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2.乙方中标的投标文件</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3.招标文件</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4.乙方在招投标过程中所作的其它承诺、声明、书面澄清等。</w:t>
      </w:r>
    </w:p>
    <w:p>
      <w:pPr>
        <w:snapToGrid w:val="0"/>
        <w:spacing w:line="500" w:lineRule="exact"/>
        <w:ind w:firstLine="422" w:firstLineChars="200"/>
        <w:rPr>
          <w:rFonts w:hAnsi="宋体" w:cs="宋体"/>
          <w:sz w:val="21"/>
          <w:szCs w:val="21"/>
          <w:highlight w:val="none"/>
        </w:rPr>
      </w:pPr>
      <w:r>
        <w:rPr>
          <w:rFonts w:hint="eastAsia" w:hAnsi="宋体" w:cs="宋体"/>
          <w:b/>
          <w:bCs/>
          <w:sz w:val="21"/>
          <w:szCs w:val="21"/>
          <w:highlight w:val="none"/>
        </w:rPr>
        <w:t>二、合同价款</w:t>
      </w:r>
      <w:r>
        <w:rPr>
          <w:rFonts w:hint="eastAsia" w:hAnsi="宋体" w:cs="宋体"/>
          <w:sz w:val="21"/>
          <w:szCs w:val="21"/>
          <w:highlight w:val="none"/>
        </w:rPr>
        <w:t>：</w:t>
      </w:r>
      <w:r>
        <w:rPr>
          <w:rFonts w:hint="eastAsia" w:hAnsi="宋体" w:cs="宋体"/>
          <w:sz w:val="21"/>
          <w:szCs w:val="21"/>
          <w:highlight w:val="none"/>
          <w:u w:val="single"/>
        </w:rPr>
        <w:t xml:space="preserve">         </w:t>
      </w:r>
      <w:r>
        <w:rPr>
          <w:rFonts w:hint="eastAsia" w:hAnsi="宋体" w:cs="宋体"/>
          <w:sz w:val="21"/>
          <w:szCs w:val="21"/>
          <w:highlight w:val="none"/>
        </w:rPr>
        <w:t>。</w:t>
      </w:r>
    </w:p>
    <w:p>
      <w:pPr>
        <w:snapToGrid w:val="0"/>
        <w:spacing w:line="500" w:lineRule="exact"/>
        <w:ind w:left="415" w:leftChars="122"/>
        <w:rPr>
          <w:rFonts w:hAnsi="宋体" w:cs="宋体"/>
          <w:sz w:val="21"/>
          <w:szCs w:val="21"/>
          <w:highlight w:val="none"/>
        </w:rPr>
      </w:pPr>
      <w:r>
        <w:rPr>
          <w:rFonts w:hint="eastAsia" w:hAnsi="宋体" w:cs="宋体"/>
          <w:b/>
          <w:bCs/>
          <w:sz w:val="21"/>
          <w:szCs w:val="21"/>
          <w:highlight w:val="none"/>
        </w:rPr>
        <w:t>三、工期：</w:t>
      </w:r>
      <w:r>
        <w:rPr>
          <w:rFonts w:hint="eastAsia" w:hAnsi="宋体" w:cs="宋体"/>
          <w:sz w:val="21"/>
          <w:szCs w:val="21"/>
          <w:highlight w:val="none"/>
        </w:rPr>
        <w:br w:type="textWrapping"/>
      </w:r>
      <w:r>
        <w:rPr>
          <w:rFonts w:hint="eastAsia" w:hAnsi="宋体" w:cs="宋体"/>
          <w:b/>
          <w:bCs/>
          <w:sz w:val="21"/>
          <w:szCs w:val="21"/>
          <w:highlight w:val="none"/>
        </w:rPr>
        <w:t>四、服务内容清单及服务要求</w:t>
      </w:r>
      <w:r>
        <w:rPr>
          <w:rFonts w:hint="eastAsia" w:hAnsi="宋体" w:cs="宋体"/>
          <w:sz w:val="21"/>
          <w:szCs w:val="21"/>
          <w:highlight w:val="none"/>
        </w:rPr>
        <w:t>：</w:t>
      </w:r>
      <w:r>
        <w:rPr>
          <w:rFonts w:hint="eastAsia" w:hAnsi="宋体" w:cs="宋体"/>
          <w:sz w:val="21"/>
          <w:szCs w:val="21"/>
          <w:highlight w:val="none"/>
          <w:u w:val="single"/>
        </w:rPr>
        <w:t xml:space="preserve">按招标文件要求及中标单位投标文件的相关承诺填写 </w:t>
      </w:r>
      <w:r>
        <w:rPr>
          <w:rFonts w:hint="eastAsia" w:hAnsi="宋体" w:cs="宋体"/>
          <w:sz w:val="21"/>
          <w:szCs w:val="21"/>
          <w:highlight w:val="none"/>
        </w:rPr>
        <w:t>。</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五、技术资料</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1.乙方应按招标文件规定的时间向甲方提供有关技术资料。</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没有甲方事先书面同意，乙方不得泄露或者不正当地使用由甲方提供的有关合同或任何合同条文、规格、计划、图纸、样品或资料包括但不限于提供给与履行本合同无关的任何其他人。即使向履行本合同有关的人员提供，也应注意保密并限于履行合同的必需范围。</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六、知识产权</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乙方应保证所提供的货物或其任何一部分均不会侵犯任何第三方的知识产权，如有侵权行为，则由乙方负责解决并承担一切损失赔偿责任。</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七、产权担保</w:t>
      </w:r>
    </w:p>
    <w:p>
      <w:pPr>
        <w:pStyle w:val="19"/>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乙方保证所交付的货物的所有权完全属于乙方且无任何抵押、查封等产权瑕疵。如因第三方抵押查封主张权利所导致的一切法律后果及损失赔偿责任均由乙方承担。</w:t>
      </w:r>
    </w:p>
    <w:p>
      <w:pPr>
        <w:snapToGrid w:val="0"/>
        <w:spacing w:line="500" w:lineRule="exact"/>
        <w:ind w:firstLine="422" w:firstLineChars="200"/>
        <w:rPr>
          <w:rFonts w:hAnsi="宋体" w:cs="宋体"/>
          <w:sz w:val="21"/>
          <w:szCs w:val="21"/>
          <w:highlight w:val="none"/>
        </w:rPr>
      </w:pPr>
      <w:r>
        <w:rPr>
          <w:rFonts w:hint="eastAsia" w:hAnsi="宋体" w:cs="宋体"/>
          <w:b/>
          <w:bCs/>
          <w:sz w:val="21"/>
          <w:szCs w:val="21"/>
          <w:highlight w:val="none"/>
        </w:rPr>
        <w:t>八、付款方式：</w:t>
      </w:r>
      <w:r>
        <w:rPr>
          <w:rFonts w:hint="eastAsia" w:hAnsi="宋体" w:cs="宋体"/>
          <w:sz w:val="21"/>
          <w:szCs w:val="21"/>
          <w:highlight w:val="none"/>
          <w:u w:val="single"/>
        </w:rPr>
        <w:t xml:space="preserve">按招标文件要求填写    </w:t>
      </w:r>
      <w:r>
        <w:rPr>
          <w:rFonts w:hint="eastAsia" w:hAnsi="宋体" w:cs="宋体"/>
          <w:sz w:val="21"/>
          <w:szCs w:val="21"/>
          <w:highlight w:val="none"/>
        </w:rPr>
        <w:t>。</w:t>
      </w:r>
    </w:p>
    <w:p>
      <w:pPr>
        <w:snapToGrid w:val="0"/>
        <w:spacing w:line="500" w:lineRule="exact"/>
        <w:ind w:firstLine="422" w:firstLineChars="200"/>
        <w:rPr>
          <w:rFonts w:hAnsi="宋体" w:cs="宋体"/>
          <w:sz w:val="21"/>
          <w:szCs w:val="21"/>
          <w:highlight w:val="none"/>
        </w:rPr>
      </w:pPr>
      <w:r>
        <w:rPr>
          <w:rFonts w:hint="eastAsia" w:hAnsi="宋体" w:cs="宋体"/>
          <w:b/>
          <w:bCs/>
          <w:sz w:val="21"/>
          <w:szCs w:val="21"/>
          <w:highlight w:val="none"/>
        </w:rPr>
        <w:t>九、履约保证金及履约担保</w:t>
      </w:r>
      <w:r>
        <w:rPr>
          <w:rFonts w:hint="eastAsia" w:hAnsi="宋体" w:cs="宋体"/>
          <w:sz w:val="21"/>
          <w:szCs w:val="21"/>
          <w:highlight w:val="none"/>
        </w:rPr>
        <w:t>：</w:t>
      </w:r>
      <w:r>
        <w:rPr>
          <w:rFonts w:hint="eastAsia" w:hAnsi="宋体" w:cs="宋体"/>
          <w:sz w:val="21"/>
          <w:szCs w:val="21"/>
          <w:highlight w:val="none"/>
          <w:u w:val="single"/>
        </w:rPr>
        <w:t xml:space="preserve">   按招标文件要求填写    </w:t>
      </w:r>
      <w:r>
        <w:rPr>
          <w:rFonts w:hint="eastAsia" w:hAnsi="宋体" w:cs="宋体"/>
          <w:sz w:val="21"/>
          <w:szCs w:val="21"/>
          <w:highlight w:val="none"/>
        </w:rPr>
        <w:t>。</w:t>
      </w:r>
    </w:p>
    <w:p>
      <w:pPr>
        <w:autoSpaceDE/>
        <w:autoSpaceDN/>
        <w:snapToGrid w:val="0"/>
        <w:spacing w:line="500" w:lineRule="exact"/>
        <w:ind w:firstLine="422" w:firstLineChars="200"/>
        <w:rPr>
          <w:rFonts w:hAnsi="宋体" w:cs="宋体"/>
          <w:b/>
          <w:kern w:val="2"/>
          <w:sz w:val="21"/>
          <w:szCs w:val="21"/>
          <w:highlight w:val="none"/>
        </w:rPr>
      </w:pPr>
      <w:r>
        <w:rPr>
          <w:rFonts w:hint="eastAsia" w:hAnsi="宋体" w:cs="宋体"/>
          <w:b/>
          <w:kern w:val="2"/>
          <w:sz w:val="21"/>
          <w:szCs w:val="21"/>
          <w:highlight w:val="none"/>
        </w:rPr>
        <w:t>十、转包或分包</w:t>
      </w:r>
    </w:p>
    <w:p>
      <w:pPr>
        <w:autoSpaceDE/>
        <w:autoSpaceDN/>
        <w:snapToGrid w:val="0"/>
        <w:spacing w:line="500" w:lineRule="exact"/>
        <w:ind w:firstLine="420" w:firstLineChars="200"/>
        <w:rPr>
          <w:rFonts w:hAnsi="宋体" w:cs="宋体"/>
          <w:kern w:val="2"/>
          <w:sz w:val="21"/>
          <w:szCs w:val="21"/>
          <w:highlight w:val="none"/>
        </w:rPr>
      </w:pPr>
      <w:r>
        <w:rPr>
          <w:rFonts w:hint="eastAsia" w:hAnsi="宋体" w:cs="宋体"/>
          <w:kern w:val="2"/>
          <w:sz w:val="21"/>
          <w:szCs w:val="21"/>
          <w:highlight w:val="none"/>
        </w:rPr>
        <w:t>1.本合同范围的货物，应由乙方直接供应，不得转让他人供应；</w:t>
      </w:r>
    </w:p>
    <w:p>
      <w:pPr>
        <w:autoSpaceDE/>
        <w:autoSpaceDN/>
        <w:snapToGrid w:val="0"/>
        <w:spacing w:line="500" w:lineRule="exact"/>
        <w:ind w:firstLine="420" w:firstLineChars="200"/>
        <w:rPr>
          <w:rFonts w:hAnsi="宋体" w:cs="宋体"/>
          <w:kern w:val="2"/>
          <w:sz w:val="21"/>
          <w:szCs w:val="21"/>
          <w:highlight w:val="none"/>
        </w:rPr>
      </w:pPr>
      <w:r>
        <w:rPr>
          <w:rFonts w:hint="eastAsia" w:hAnsi="宋体" w:cs="宋体"/>
          <w:kern w:val="2"/>
          <w:sz w:val="21"/>
          <w:szCs w:val="21"/>
          <w:highlight w:val="none"/>
        </w:rPr>
        <w:t>2.除非得到甲方的书面同意，乙方不得将本合同范围的货物全部或部分分包给他人供应；</w:t>
      </w:r>
    </w:p>
    <w:p>
      <w:pPr>
        <w:autoSpaceDE/>
        <w:autoSpaceDN/>
        <w:snapToGrid w:val="0"/>
        <w:spacing w:line="500" w:lineRule="exact"/>
        <w:ind w:firstLine="420" w:firstLineChars="200"/>
        <w:rPr>
          <w:rFonts w:hAnsi="宋体" w:cs="宋体"/>
          <w:kern w:val="2"/>
          <w:sz w:val="21"/>
          <w:szCs w:val="21"/>
          <w:highlight w:val="none"/>
        </w:rPr>
      </w:pPr>
      <w:r>
        <w:rPr>
          <w:rFonts w:hint="eastAsia" w:hAnsi="宋体" w:cs="宋体"/>
          <w:kern w:val="2"/>
          <w:sz w:val="21"/>
          <w:szCs w:val="21"/>
          <w:highlight w:val="none"/>
        </w:rPr>
        <w:t>3.如有转让和未经甲方同意的分包行为，甲方有权解除合同，没收履约保证金并追究乙方的违约责任。</w:t>
      </w:r>
    </w:p>
    <w:p>
      <w:pPr>
        <w:autoSpaceDE/>
        <w:autoSpaceDN/>
        <w:snapToGrid w:val="0"/>
        <w:spacing w:line="500" w:lineRule="exact"/>
        <w:ind w:firstLine="422" w:firstLineChars="200"/>
        <w:rPr>
          <w:rFonts w:hAnsi="宋体" w:cs="宋体"/>
          <w:bCs/>
          <w:kern w:val="2"/>
          <w:sz w:val="21"/>
          <w:szCs w:val="21"/>
          <w:highlight w:val="none"/>
        </w:rPr>
      </w:pPr>
      <w:r>
        <w:rPr>
          <w:rFonts w:hint="eastAsia" w:hAnsi="宋体" w:cs="宋体"/>
          <w:b/>
          <w:kern w:val="2"/>
          <w:sz w:val="21"/>
          <w:szCs w:val="21"/>
          <w:highlight w:val="none"/>
        </w:rPr>
        <w:t>十一、税费</w:t>
      </w:r>
    </w:p>
    <w:p>
      <w:pPr>
        <w:autoSpaceDE/>
        <w:autoSpaceDN/>
        <w:snapToGrid w:val="0"/>
        <w:spacing w:line="500" w:lineRule="exact"/>
        <w:ind w:firstLine="420" w:firstLineChars="200"/>
        <w:rPr>
          <w:rFonts w:hAnsi="宋体" w:cs="宋体"/>
          <w:bCs/>
          <w:kern w:val="2"/>
          <w:sz w:val="21"/>
          <w:szCs w:val="21"/>
          <w:highlight w:val="none"/>
        </w:rPr>
      </w:pPr>
      <w:r>
        <w:rPr>
          <w:rFonts w:hint="eastAsia" w:hAnsi="宋体" w:cs="宋体"/>
          <w:bCs/>
          <w:kern w:val="2"/>
          <w:sz w:val="21"/>
          <w:szCs w:val="21"/>
          <w:highlight w:val="none"/>
        </w:rPr>
        <w:t>本合同执行中相关的一切税费均由乙方负担。</w:t>
      </w:r>
    </w:p>
    <w:p>
      <w:pPr>
        <w:tabs>
          <w:tab w:val="left" w:pos="840"/>
        </w:tabs>
        <w:snapToGrid w:val="0"/>
        <w:spacing w:line="500" w:lineRule="exact"/>
        <w:ind w:firstLine="422" w:firstLineChars="200"/>
        <w:rPr>
          <w:rFonts w:hAnsi="宋体" w:cs="宋体"/>
          <w:b/>
          <w:bCs/>
          <w:sz w:val="21"/>
          <w:szCs w:val="21"/>
          <w:highlight w:val="none"/>
          <w:u w:val="single"/>
        </w:rPr>
      </w:pPr>
      <w:r>
        <w:rPr>
          <w:rFonts w:hint="eastAsia" w:hAnsi="宋体" w:cs="宋体"/>
          <w:b/>
          <w:bCs/>
          <w:sz w:val="21"/>
          <w:szCs w:val="21"/>
          <w:highlight w:val="none"/>
        </w:rPr>
        <w:t>十二、甲方的权利和义务</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1.根据甲方要求及乙方投标文件中的承诺，对乙方提供的服务及履行本合同情况实行验收考核。</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2.因采购人项目需求或突发事件或重大活动，甲方需调动乙方人员、设备时，乙方应无条件服从安排予以配合。</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十三、乙方的权利和义务</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1.乙方应根据甲方招标文件的要求及投标文件所作的承诺，积极主动、保质保量地履行好相关服务工作；</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2.接受并主动配合甲方及行业管理部门的检查；</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3.服务范围之外的突击性、突发性工作，乙方须服从甲方的安排，不得无故拖延；</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4.项目实施区域内甲方的设施设备应保持完好，因乙方操作不当而损坏的设施设备应负责修复或照价赔偿。</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w:t>
      </w:r>
      <w:bookmarkStart w:id="51" w:name="_Toc13543221"/>
      <w:r>
        <w:rPr>
          <w:rFonts w:hint="eastAsia" w:hAnsi="宋体" w:cs="宋体"/>
          <w:b/>
          <w:bCs/>
          <w:sz w:val="21"/>
          <w:szCs w:val="21"/>
          <w:highlight w:val="none"/>
        </w:rPr>
        <w:t>四、合同的解除和转让</w:t>
      </w:r>
      <w:bookmarkEnd w:id="51"/>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1.合同的解除</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（1）甲方和乙方协商一致，可以解除合同，并报政府采购监管部门审查备案。</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（2）有下列情形之一，合同一方可以解除合同：</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① 因不可抗力致使不能实现合同目的，未受不可抗力影响的一方有权解除合同；</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② 因合同一方违约导致合同不能履行，另一方有权解除合同。</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③ 有权解除合同的一方，应当在违约事实或不可抗力发生之后三十天内书面通知对方以主张解除合同，合同在书面通知到达对方时解除。</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2.合同的转让</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合同的部分和全部都不得转让。</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十五、违约责任：</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1.违反本合同约定，造成本合同不能履行或不能完全履行，由违约方承担违约责任，违约方应按合同法赔偿对方经济损失。</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2.乙方承诺在合同履行期间满足甲方所提出的相关服务需求。如乙方未能做到上述承诺或完成工作的质量经考核未达标的，甲方可按约定的考核处罚规则酌情扣减服务费价款。</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3.乙方的工作与服务完全达不到本项目要求的，乙方应负责根据合同及甲方的要求采取相应的处理措施，并承担由此发生的一切损失和费用；造成甲方工作延误和其他损失的，甲方需负相应的赔偿责任。</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 乙方逾期交付货物的，乙方应按逾期交货总额每日千分之六向甲方支付违约金，由甲方从待付货款中扣除。逾期超过约定日期10个工作日不能交货的，甲方可解除本合同。乙方因逾期交货或因其他违约行为导致甲方解除合同的，乙方应向甲方支付合同总值5%的违约金，如造成甲方损失超过违约金的，超出部分由乙方继续承担赔偿责任。</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5. 乙方所交的货物品种、型号、规格、技术参数、质量不符合合同规定及磋商文件规定标准的，甲方有权拒收该货物，乙方愿意更换货物但逾期交货的，按乙方逾期交货处理。乙方拒绝更换货物的，甲方可单方面解除合同。</w:t>
      </w:r>
    </w:p>
    <w:p>
      <w:pPr>
        <w:snapToGrid w:val="0"/>
        <w:spacing w:line="500" w:lineRule="exact"/>
        <w:ind w:firstLine="422" w:firstLineChars="200"/>
        <w:rPr>
          <w:rFonts w:hAnsi="宋体" w:cs="宋体"/>
          <w:b/>
          <w:bCs/>
          <w:sz w:val="21"/>
          <w:szCs w:val="21"/>
          <w:highlight w:val="none"/>
        </w:rPr>
      </w:pPr>
      <w:r>
        <w:rPr>
          <w:rFonts w:hint="eastAsia" w:hAnsi="宋体" w:cs="宋体"/>
          <w:b/>
          <w:bCs/>
          <w:sz w:val="21"/>
          <w:szCs w:val="21"/>
          <w:highlight w:val="none"/>
        </w:rPr>
        <w:t>十六、不可抗力事件处理</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不可抗力，是指本合同双方不能合理控制、不可预见或即使预见亦无法避免的事件，该事件妨碍、影响或延误任何一方根据本合同履行其全部或部分义务。该事件包括但不限于：自然原因，例如：地震、火灾、严重的传染性疾病等；国家机关政府行为之原因，例如：法律、政策、行政指令。</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2.遭受不可抗力事件的一方可暂行中止履行本合同项下的义务直至不可抗力事件的影响消除为止，并且无需为此而承担违约责任；但应尽最大努力克服该事件，减轻其负面影响。</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 xml:space="preserve">3.在本合同履行中，一旦本合同一方或双方遭受不可抗力，则不可抗力发生方须在尽可能短的时间内通知对方。如果不可抗力的发生，不会造成不可抗力发生方对本合同的根本违约，则另一方应该在履约时间上给与对方适当的宽限。如果不可抗力的发生，造成了不可抗力发生方无法履行本合同，则本合同终止。 </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十七、合同的修改与终止</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1.经甲、乙双方一致同意后可修改本合同。</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2.任何一方如因发生不可抗拒事件而丧失履行合同能力，本合同可自行终止。</w:t>
      </w:r>
    </w:p>
    <w:p>
      <w:pPr>
        <w:snapToGrid w:val="0"/>
        <w:spacing w:line="500" w:lineRule="exact"/>
        <w:ind w:firstLine="420" w:firstLineChars="200"/>
        <w:rPr>
          <w:rFonts w:hAnsi="宋体" w:cs="宋体"/>
          <w:bCs/>
          <w:sz w:val="21"/>
          <w:szCs w:val="21"/>
          <w:highlight w:val="none"/>
        </w:rPr>
      </w:pPr>
      <w:r>
        <w:rPr>
          <w:rFonts w:hint="eastAsia" w:hAnsi="宋体" w:cs="宋体"/>
          <w:sz w:val="21"/>
          <w:szCs w:val="21"/>
          <w:highlight w:val="none"/>
        </w:rPr>
        <w:t>3.在乙方收到</w:t>
      </w:r>
      <w:r>
        <w:rPr>
          <w:rFonts w:hint="eastAsia" w:hAnsi="宋体" w:cs="宋体"/>
          <w:bCs/>
          <w:sz w:val="21"/>
          <w:szCs w:val="21"/>
          <w:highlight w:val="none"/>
        </w:rPr>
        <w:t>甲方发出的书面违约通知后15天内（或经甲方书面确认的更长时间内）仍未纠正其违约行为的，甲方有权单方面终止全部或部分合同，所发生的费用及损失由乙方负责。</w:t>
      </w:r>
    </w:p>
    <w:p>
      <w:pPr>
        <w:snapToGrid w:val="0"/>
        <w:spacing w:line="500" w:lineRule="exact"/>
        <w:ind w:firstLine="420" w:firstLineChars="200"/>
        <w:rPr>
          <w:rFonts w:hAnsi="宋体" w:cs="宋体"/>
          <w:bCs/>
          <w:sz w:val="21"/>
          <w:szCs w:val="21"/>
          <w:highlight w:val="none"/>
        </w:rPr>
      </w:pPr>
      <w:r>
        <w:rPr>
          <w:rFonts w:hint="eastAsia" w:hAnsi="宋体" w:cs="宋体"/>
          <w:bCs/>
          <w:sz w:val="21"/>
          <w:szCs w:val="21"/>
          <w:highlight w:val="none"/>
        </w:rPr>
        <w:t>4.当乙方破产或无清偿能力时，甲方有权单方面终止合同，该终止合同不损害或影响甲方己采取或将采取补救措施的任何权利。</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十八、合同变更</w:t>
      </w:r>
    </w:p>
    <w:p>
      <w:pPr>
        <w:snapToGrid w:val="0"/>
        <w:spacing w:line="500" w:lineRule="exact"/>
        <w:ind w:firstLine="420" w:firstLineChars="200"/>
        <w:rPr>
          <w:rFonts w:hAnsi="宋体" w:cs="宋体"/>
          <w:bCs/>
          <w:sz w:val="21"/>
          <w:szCs w:val="21"/>
          <w:highlight w:val="none"/>
        </w:rPr>
      </w:pPr>
      <w:r>
        <w:rPr>
          <w:rFonts w:hint="eastAsia" w:hAnsi="宋体" w:cs="宋体"/>
          <w:bCs/>
          <w:sz w:val="21"/>
          <w:szCs w:val="21"/>
          <w:highlight w:val="none"/>
        </w:rPr>
        <w:t>项目实施过程中，甲方由于管理业务调整等一切导致业务内容变更但不涉及整体实施方案的，不认为是变更招标要求或合同要求，乙方应无条件按变更后的业务内容进行重新设计实施方案并实施服务。</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十九、争议及解决</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如双方在履行合同时发生纠纷，应协商解决。协商不成的，双方约定向甲方所在地的人民法院提起诉讼。</w:t>
      </w:r>
    </w:p>
    <w:p>
      <w:pPr>
        <w:snapToGrid w:val="0"/>
        <w:spacing w:line="500" w:lineRule="exact"/>
        <w:ind w:firstLine="422" w:firstLineChars="200"/>
        <w:rPr>
          <w:rFonts w:hAnsi="宋体" w:cs="宋体"/>
          <w:b/>
          <w:sz w:val="21"/>
          <w:szCs w:val="21"/>
          <w:highlight w:val="none"/>
        </w:rPr>
      </w:pPr>
      <w:r>
        <w:rPr>
          <w:rFonts w:hint="eastAsia" w:hAnsi="宋体" w:cs="宋体"/>
          <w:b/>
          <w:sz w:val="21"/>
          <w:szCs w:val="21"/>
          <w:highlight w:val="none"/>
        </w:rPr>
        <w:t>二十、合同生效及其他</w:t>
      </w:r>
    </w:p>
    <w:p>
      <w:pPr>
        <w:pStyle w:val="27"/>
        <w:snapToGrid w:val="0"/>
        <w:spacing w:line="500" w:lineRule="exact"/>
        <w:ind w:firstLine="420" w:firstLineChars="200"/>
        <w:rPr>
          <w:rFonts w:ascii="宋体" w:hAnsi="宋体" w:cs="宋体"/>
          <w:kern w:val="2"/>
          <w:sz w:val="21"/>
          <w:highlight w:val="none"/>
        </w:rPr>
      </w:pPr>
      <w:r>
        <w:rPr>
          <w:rFonts w:hint="eastAsia" w:ascii="宋体" w:hAnsi="宋体" w:cs="宋体"/>
          <w:kern w:val="2"/>
          <w:sz w:val="21"/>
          <w:highlight w:val="none"/>
        </w:rPr>
        <w:t>1.合同经双方法定代表人或授权代表签字并加盖单位公章后生效。</w:t>
      </w:r>
    </w:p>
    <w:p>
      <w:pPr>
        <w:pStyle w:val="27"/>
        <w:snapToGrid w:val="0"/>
        <w:spacing w:line="500" w:lineRule="exact"/>
        <w:ind w:firstLine="420" w:firstLineChars="200"/>
        <w:rPr>
          <w:rFonts w:ascii="宋体" w:hAnsi="宋体" w:cs="宋体"/>
          <w:kern w:val="2"/>
          <w:sz w:val="21"/>
          <w:highlight w:val="none"/>
        </w:rPr>
      </w:pPr>
      <w:r>
        <w:rPr>
          <w:rFonts w:hint="eastAsia" w:ascii="宋体" w:hAnsi="宋体" w:cs="宋体"/>
          <w:kern w:val="2"/>
          <w:sz w:val="21"/>
          <w:highlight w:val="none"/>
        </w:rPr>
        <w:t>2.合同执行中涉及采购资金和采购内容修改或补充的，并签书面补充协议后，方可作为主合同不可分割的一部分。</w:t>
      </w:r>
    </w:p>
    <w:p>
      <w:pPr>
        <w:pStyle w:val="27"/>
        <w:snapToGrid w:val="0"/>
        <w:spacing w:line="500" w:lineRule="exact"/>
        <w:ind w:firstLine="420" w:firstLineChars="200"/>
        <w:rPr>
          <w:rFonts w:ascii="宋体" w:hAnsi="宋体" w:cs="宋体"/>
          <w:sz w:val="21"/>
          <w:highlight w:val="none"/>
          <w:u w:val="single"/>
        </w:rPr>
      </w:pPr>
      <w:r>
        <w:rPr>
          <w:rFonts w:hint="eastAsia" w:ascii="宋体" w:hAnsi="宋体" w:cs="宋体"/>
          <w:sz w:val="21"/>
          <w:highlight w:val="none"/>
        </w:rPr>
        <w:t>3.</w:t>
      </w:r>
      <w:r>
        <w:rPr>
          <w:rFonts w:hint="eastAsia" w:ascii="宋体" w:hAnsi="宋体" w:cs="宋体"/>
          <w:kern w:val="2"/>
          <w:sz w:val="21"/>
          <w:highlight w:val="none"/>
        </w:rPr>
        <w:t>其他约定事项</w:t>
      </w:r>
      <w:r>
        <w:rPr>
          <w:rFonts w:hint="eastAsia" w:ascii="宋体" w:hAnsi="宋体" w:cs="宋体"/>
          <w:sz w:val="21"/>
          <w:highlight w:val="none"/>
        </w:rPr>
        <w:t>：本项目所有产品的产权归甲方所有。</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4.招标文件、投标文件及评标过程中形成的文字资料、询标纪要均作为本合同的组成部分，具有同等效力。本合同未尽事宜，遵照《中华人民共和国民法典》及上述资料有关条文执行。</w:t>
      </w:r>
    </w:p>
    <w:p>
      <w:pPr>
        <w:pStyle w:val="27"/>
        <w:snapToGrid w:val="0"/>
        <w:spacing w:line="500" w:lineRule="exact"/>
        <w:ind w:firstLine="420" w:firstLineChars="200"/>
        <w:rPr>
          <w:rFonts w:ascii="宋体" w:hAnsi="宋体" w:cs="宋体"/>
          <w:bCs/>
          <w:sz w:val="21"/>
          <w:highlight w:val="none"/>
        </w:rPr>
      </w:pPr>
      <w:r>
        <w:rPr>
          <w:rFonts w:hint="eastAsia" w:ascii="宋体" w:hAnsi="宋体" w:cs="宋体"/>
          <w:bCs/>
          <w:sz w:val="21"/>
          <w:highlight w:val="none"/>
        </w:rPr>
        <w:t>5.本合同一式十份，甲、乙双方各执四份，</w:t>
      </w:r>
      <w:r>
        <w:rPr>
          <w:rFonts w:hint="eastAsia" w:ascii="宋体" w:hAnsi="宋体" w:cs="宋体"/>
          <w:sz w:val="21"/>
          <w:highlight w:val="none"/>
        </w:rPr>
        <w:t>代理机构留存二份。具有同等法律效力。</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甲方签章：                                   乙方签章：</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法人代表：                                   法人代表：</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法人授权代表：                               法人授权代表：</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联系电话：                                   联系电话：</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开户银行：                                   开户银行：</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银行账号：                                   银行账号：</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 xml:space="preserve">签订地点：金华                               签订时间：  年   月   </w:t>
      </w:r>
    </w:p>
    <w:p>
      <w:pPr>
        <w:snapToGrid w:val="0"/>
        <w:spacing w:line="500" w:lineRule="exact"/>
        <w:ind w:firstLine="420" w:firstLineChars="200"/>
        <w:rPr>
          <w:rFonts w:hAnsi="宋体" w:cs="宋体"/>
          <w:sz w:val="21"/>
          <w:szCs w:val="21"/>
          <w:highlight w:val="none"/>
        </w:rPr>
      </w:pP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采购代理机构意见:</w:t>
      </w:r>
    </w:p>
    <w:p>
      <w:pPr>
        <w:pStyle w:val="27"/>
        <w:snapToGrid w:val="0"/>
        <w:spacing w:before="295" w:after="295"/>
        <w:rPr>
          <w:rFonts w:ascii="宋体" w:hAnsi="宋体" w:cs="宋体"/>
          <w:kern w:val="2"/>
          <w:sz w:val="24"/>
          <w:highlight w:val="none"/>
        </w:rPr>
      </w:pPr>
      <w:r>
        <w:rPr>
          <w:rFonts w:hint="eastAsia" w:ascii="宋体" w:hAnsi="宋体" w:cs="宋体"/>
          <w:b/>
          <w:sz w:val="21"/>
          <w:highlight w:val="none"/>
        </w:rPr>
        <w:t>注：此合同样本仅作参考，采购人、投标人可根据采购项目的实际情况进行修改。</w:t>
      </w:r>
      <w:bookmarkEnd w:id="50"/>
      <w:bookmarkStart w:id="52" w:name="_Toc351559946"/>
    </w:p>
    <w:p>
      <w:pPr>
        <w:pStyle w:val="22"/>
        <w:ind w:firstLine="240"/>
        <w:rPr>
          <w:rFonts w:ascii="宋体" w:hAnsi="宋体" w:cs="宋体"/>
          <w:kern w:val="2"/>
          <w:sz w:val="24"/>
          <w:highlight w:val="none"/>
        </w:rPr>
      </w:pPr>
    </w:p>
    <w:p>
      <w:pPr>
        <w:pStyle w:val="39"/>
        <w:rPr>
          <w:rFonts w:ascii="宋体" w:hAnsi="宋体" w:cs="宋体"/>
          <w:highlight w:val="none"/>
        </w:rPr>
      </w:pPr>
    </w:p>
    <w:p>
      <w:pPr>
        <w:pStyle w:val="5"/>
        <w:spacing w:line="360" w:lineRule="auto"/>
        <w:jc w:val="center"/>
        <w:rPr>
          <w:rFonts w:ascii="宋体" w:hAnsi="宋体" w:cs="宋体"/>
          <w:color w:val="auto"/>
          <w:sz w:val="30"/>
          <w:szCs w:val="30"/>
          <w:highlight w:val="none"/>
        </w:rPr>
      </w:pPr>
      <w:r>
        <w:rPr>
          <w:rFonts w:hint="eastAsia" w:ascii="宋体" w:hAnsi="宋体" w:cs="宋体"/>
          <w:color w:val="auto"/>
          <w:sz w:val="30"/>
          <w:szCs w:val="30"/>
          <w:highlight w:val="none"/>
        </w:rPr>
        <w:br w:type="page"/>
      </w:r>
      <w:r>
        <w:rPr>
          <w:rFonts w:hint="eastAsia" w:ascii="宋体" w:hAnsi="宋体" w:cs="宋体"/>
          <w:color w:val="auto"/>
          <w:sz w:val="30"/>
          <w:szCs w:val="30"/>
          <w:highlight w:val="none"/>
        </w:rPr>
        <w:t>第六章　投标文件格式</w:t>
      </w:r>
    </w:p>
    <w:p>
      <w:pPr>
        <w:snapToGrid w:val="0"/>
        <w:spacing w:before="317" w:beforeLines="50" w:after="50"/>
        <w:jc w:val="center"/>
        <w:rPr>
          <w:rFonts w:hAnsi="宋体" w:cs="宋体"/>
          <w:sz w:val="24"/>
          <w:highlight w:val="none"/>
        </w:rPr>
      </w:pPr>
      <w:bookmarkStart w:id="53" w:name="_Toc351559947"/>
      <w:r>
        <w:rPr>
          <w:rFonts w:hint="eastAsia" w:hAnsi="宋体" w:cs="宋体"/>
          <w:sz w:val="24"/>
          <w:highlight w:val="none"/>
        </w:rPr>
        <w:t>一、投标文件封面格式</w:t>
      </w:r>
      <w:bookmarkEnd w:id="53"/>
    </w:p>
    <w:p>
      <w:pPr>
        <w:snapToGrid w:val="0"/>
        <w:spacing w:before="317" w:beforeLines="50" w:after="50"/>
        <w:ind w:firstLine="600" w:firstLineChars="250"/>
        <w:rPr>
          <w:rFonts w:hAnsi="宋体" w:cs="宋体"/>
          <w:sz w:val="24"/>
          <w:highlight w:val="none"/>
        </w:rPr>
      </w:pPr>
    </w:p>
    <w:p>
      <w:pPr>
        <w:snapToGrid w:val="0"/>
        <w:spacing w:before="317" w:beforeLines="50" w:after="50"/>
        <w:ind w:firstLine="600" w:firstLineChars="250"/>
        <w:rPr>
          <w:rFonts w:hAnsi="宋体" w:cs="宋体"/>
          <w:sz w:val="24"/>
          <w:highlight w:val="none"/>
        </w:rPr>
      </w:pPr>
    </w:p>
    <w:p>
      <w:pPr>
        <w:snapToGrid w:val="0"/>
        <w:spacing w:before="317" w:beforeLines="50" w:after="50"/>
        <w:ind w:firstLine="600" w:firstLineChars="250"/>
        <w:rPr>
          <w:rFonts w:hAnsi="宋体" w:cs="宋体"/>
          <w:sz w:val="24"/>
          <w:szCs w:val="24"/>
          <w:highlight w:val="none"/>
        </w:rPr>
      </w:pPr>
      <w:r>
        <w:rPr>
          <w:rFonts w:hint="eastAsia" w:hAnsi="宋体" w:cs="宋体"/>
          <w:sz w:val="24"/>
          <w:szCs w:val="24"/>
          <w:highlight w:val="none"/>
        </w:rPr>
        <w:t>所有投标文件的封面格式：(可选用)</w:t>
      </w:r>
    </w:p>
    <w:p>
      <w:pPr>
        <w:snapToGrid w:val="0"/>
        <w:spacing w:before="317" w:beforeLines="50" w:after="50"/>
        <w:rPr>
          <w:rFonts w:hAnsi="宋体" w:cs="宋体"/>
          <w:sz w:val="24"/>
          <w:szCs w:val="24"/>
          <w:highlight w:val="none"/>
        </w:rPr>
      </w:pPr>
    </w:p>
    <w:p>
      <w:pPr>
        <w:snapToGrid w:val="0"/>
        <w:spacing w:before="317" w:beforeLines="50" w:after="50"/>
        <w:jc w:val="center"/>
        <w:rPr>
          <w:rFonts w:hAnsi="宋体" w:cs="宋体"/>
          <w:sz w:val="24"/>
          <w:szCs w:val="24"/>
          <w:highlight w:val="none"/>
        </w:rPr>
      </w:pPr>
    </w:p>
    <w:p>
      <w:pPr>
        <w:snapToGrid w:val="0"/>
        <w:spacing w:before="317" w:beforeLines="50" w:after="50"/>
        <w:jc w:val="center"/>
        <w:rPr>
          <w:rFonts w:hAnsi="宋体" w:cs="宋体"/>
          <w:b/>
          <w:sz w:val="24"/>
          <w:szCs w:val="24"/>
          <w:highlight w:val="none"/>
        </w:rPr>
      </w:pPr>
      <w:r>
        <w:rPr>
          <w:rFonts w:hint="eastAsia" w:hAnsi="宋体" w:cs="宋体"/>
          <w:b/>
          <w:sz w:val="24"/>
          <w:szCs w:val="24"/>
          <w:highlight w:val="none"/>
        </w:rPr>
        <w:t>投标文件</w:t>
      </w:r>
    </w:p>
    <w:p>
      <w:pPr>
        <w:snapToGrid w:val="0"/>
        <w:spacing w:before="317" w:beforeLines="50" w:after="50"/>
        <w:rPr>
          <w:rFonts w:hAnsi="宋体" w:cs="宋体"/>
          <w:sz w:val="24"/>
          <w:szCs w:val="24"/>
          <w:highlight w:val="none"/>
        </w:rPr>
      </w:pPr>
    </w:p>
    <w:p>
      <w:pPr>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 xml:space="preserve">项目名称： </w:t>
      </w:r>
    </w:p>
    <w:p>
      <w:pPr>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项目编号：</w:t>
      </w:r>
    </w:p>
    <w:p>
      <w:pPr>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投标文件名称：资格文件、商务技术文件、报价文件</w:t>
      </w:r>
    </w:p>
    <w:p>
      <w:pPr>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投标人名称：</w:t>
      </w:r>
    </w:p>
    <w:p>
      <w:pPr>
        <w:snapToGrid w:val="0"/>
        <w:spacing w:line="460" w:lineRule="exact"/>
        <w:ind w:firstLine="480" w:firstLineChars="200"/>
        <w:rPr>
          <w:rFonts w:hAnsi="宋体" w:cs="宋体"/>
          <w:sz w:val="24"/>
          <w:szCs w:val="24"/>
          <w:highlight w:val="none"/>
        </w:rPr>
      </w:pPr>
      <w:r>
        <w:rPr>
          <w:rFonts w:hint="eastAsia" w:hAnsi="宋体" w:cs="宋体"/>
          <w:sz w:val="24"/>
          <w:szCs w:val="24"/>
          <w:highlight w:val="none"/>
        </w:rPr>
        <w:t>投标人地址：</w:t>
      </w:r>
    </w:p>
    <w:p>
      <w:pPr>
        <w:snapToGrid w:val="0"/>
        <w:spacing w:before="317" w:beforeLines="50" w:after="50"/>
        <w:ind w:firstLine="4080" w:firstLineChars="1700"/>
        <w:rPr>
          <w:rFonts w:hAnsi="宋体" w:cs="宋体"/>
          <w:sz w:val="24"/>
          <w:szCs w:val="24"/>
          <w:highlight w:val="none"/>
        </w:rPr>
      </w:pPr>
    </w:p>
    <w:p>
      <w:pPr>
        <w:snapToGrid w:val="0"/>
        <w:spacing w:before="317" w:beforeLines="50" w:after="50"/>
        <w:ind w:firstLine="645"/>
        <w:jc w:val="center"/>
        <w:rPr>
          <w:rFonts w:hAnsi="宋体" w:cs="宋体"/>
          <w:sz w:val="24"/>
          <w:szCs w:val="24"/>
          <w:highlight w:val="none"/>
        </w:rPr>
      </w:pPr>
      <w:r>
        <w:rPr>
          <w:rFonts w:hint="eastAsia" w:hAnsi="宋体" w:cs="宋体"/>
          <w:sz w:val="24"/>
          <w:szCs w:val="24"/>
          <w:highlight w:val="none"/>
        </w:rPr>
        <w:t>年 月 日</w:t>
      </w:r>
    </w:p>
    <w:p>
      <w:pPr>
        <w:widowControl/>
        <w:snapToGrid w:val="0"/>
        <w:spacing w:before="120" w:after="50"/>
        <w:rPr>
          <w:rFonts w:hAnsi="宋体" w:cs="宋体"/>
          <w:b/>
          <w:sz w:val="21"/>
          <w:highlight w:val="none"/>
        </w:rPr>
      </w:pPr>
      <w:r>
        <w:rPr>
          <w:rFonts w:hint="eastAsia" w:hAnsi="宋体" w:cs="宋体"/>
          <w:sz w:val="21"/>
          <w:szCs w:val="21"/>
          <w:highlight w:val="none"/>
        </w:rPr>
        <w:br w:type="page"/>
      </w:r>
      <w:r>
        <w:rPr>
          <w:rFonts w:hint="eastAsia" w:hAnsi="宋体" w:cs="宋体"/>
          <w:b/>
          <w:sz w:val="24"/>
          <w:highlight w:val="none"/>
        </w:rPr>
        <w:t>（一）资格文件</w:t>
      </w:r>
    </w:p>
    <w:p>
      <w:pPr>
        <w:autoSpaceDE/>
        <w:autoSpaceDN/>
        <w:adjustRightInd/>
        <w:spacing w:line="460" w:lineRule="exact"/>
        <w:ind w:firstLine="482" w:firstLineChars="200"/>
        <w:jc w:val="both"/>
        <w:rPr>
          <w:rFonts w:hAnsi="宋体" w:cs="宋体"/>
          <w:sz w:val="21"/>
          <w:szCs w:val="21"/>
          <w:highlight w:val="none"/>
        </w:rPr>
      </w:pPr>
      <w:r>
        <w:rPr>
          <w:rFonts w:hint="eastAsia" w:hAnsi="宋体" w:cs="宋体"/>
          <w:b/>
          <w:sz w:val="24"/>
          <w:highlight w:val="none"/>
        </w:rPr>
        <w:t xml:space="preserve"> 资格文件目录</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（1）投标人有效期内的营业执照及其他相关资质证书（复印件加盖有效公章）；</w:t>
      </w:r>
    </w:p>
    <w:p>
      <w:pPr>
        <w:autoSpaceDE/>
        <w:autoSpaceDN/>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（2）投标人法定代表人授权委托书(格式见附件，如法定代表人本人参加的，则提供法定代表人身份证明及法定代表人身份证复印件)；</w:t>
      </w:r>
    </w:p>
    <w:p>
      <w:pPr>
        <w:widowControl/>
        <w:autoSpaceDE/>
        <w:autoSpaceDN/>
        <w:snapToGrid w:val="0"/>
        <w:spacing w:line="500" w:lineRule="exact"/>
        <w:ind w:firstLine="420" w:firstLineChars="200"/>
        <w:rPr>
          <w:rFonts w:hAnsi="宋体" w:cs="宋体"/>
          <w:color w:val="000000"/>
          <w:sz w:val="21"/>
          <w:szCs w:val="21"/>
          <w:highlight w:val="none"/>
        </w:rPr>
      </w:pPr>
      <w:r>
        <w:rPr>
          <w:rFonts w:hint="eastAsia" w:hAnsi="宋体" w:cs="宋体"/>
          <w:color w:val="000000"/>
          <w:sz w:val="21"/>
          <w:szCs w:val="21"/>
          <w:highlight w:val="none"/>
        </w:rPr>
        <w:t>（3）符合参加政府采购活动应当具备的一般条件的承诺函（格式见附件）；</w:t>
      </w:r>
    </w:p>
    <w:p>
      <w:pPr>
        <w:snapToGrid w:val="0"/>
        <w:spacing w:line="500" w:lineRule="exact"/>
        <w:ind w:firstLine="420" w:firstLineChars="200"/>
        <w:rPr>
          <w:rFonts w:hAnsi="宋体" w:cs="宋体"/>
          <w:sz w:val="21"/>
          <w:szCs w:val="21"/>
          <w:highlight w:val="none"/>
        </w:rPr>
      </w:pPr>
      <w:r>
        <w:rPr>
          <w:rFonts w:hint="eastAsia" w:hAnsi="宋体" w:cs="宋体"/>
          <w:color w:val="000000"/>
          <w:sz w:val="21"/>
          <w:szCs w:val="21"/>
          <w:highlight w:val="none"/>
        </w:rPr>
        <w:t>（4）本项目的特定资格要求（格式见附件）</w:t>
      </w:r>
      <w:r>
        <w:rPr>
          <w:rFonts w:hint="eastAsia" w:hAnsi="宋体" w:cs="宋体"/>
          <w:sz w:val="21"/>
          <w:szCs w:val="21"/>
          <w:highlight w:val="none"/>
        </w:rPr>
        <w:t>；</w:t>
      </w:r>
    </w:p>
    <w:p>
      <w:pPr>
        <w:autoSpaceDE/>
        <w:autoSpaceDN/>
        <w:adjustRightInd/>
        <w:snapToGrid w:val="0"/>
        <w:spacing w:line="500" w:lineRule="exact"/>
        <w:ind w:firstLine="420" w:firstLineChars="200"/>
        <w:rPr>
          <w:rFonts w:hAnsi="宋体" w:cs="宋体"/>
          <w:sz w:val="21"/>
          <w:szCs w:val="21"/>
          <w:highlight w:val="none"/>
        </w:rPr>
      </w:pPr>
    </w:p>
    <w:p>
      <w:pPr>
        <w:snapToGrid w:val="0"/>
        <w:spacing w:line="460" w:lineRule="exact"/>
        <w:jc w:val="both"/>
        <w:rPr>
          <w:rFonts w:hAnsi="宋体" w:cs="宋体"/>
          <w:b/>
          <w:sz w:val="24"/>
          <w:highlight w:val="none"/>
        </w:rPr>
      </w:pPr>
      <w:r>
        <w:rPr>
          <w:rFonts w:hint="eastAsia" w:hAnsi="宋体" w:cs="宋体"/>
          <w:sz w:val="24"/>
          <w:szCs w:val="24"/>
          <w:highlight w:val="none"/>
        </w:rPr>
        <w:br w:type="page"/>
      </w:r>
      <w:r>
        <w:rPr>
          <w:rFonts w:hint="eastAsia" w:hAnsi="宋体" w:cs="宋体"/>
          <w:b/>
          <w:sz w:val="24"/>
          <w:szCs w:val="24"/>
          <w:highlight w:val="none"/>
        </w:rPr>
        <w:t>1.投标人有效期内的营业执照及其他相关资质证书（复印件加盖有效公章）；</w:t>
      </w:r>
    </w:p>
    <w:p>
      <w:pPr>
        <w:snapToGrid w:val="0"/>
        <w:spacing w:line="460" w:lineRule="exact"/>
        <w:jc w:val="both"/>
        <w:rPr>
          <w:rFonts w:hAnsi="宋体" w:cs="宋体"/>
          <w:b/>
          <w:sz w:val="24"/>
          <w:szCs w:val="24"/>
          <w:highlight w:val="none"/>
        </w:rPr>
      </w:pPr>
    </w:p>
    <w:p>
      <w:pPr>
        <w:snapToGrid w:val="0"/>
        <w:spacing w:line="460" w:lineRule="exact"/>
        <w:jc w:val="both"/>
        <w:rPr>
          <w:rFonts w:hAnsi="宋体" w:cs="宋体"/>
          <w:b/>
          <w:sz w:val="24"/>
          <w:szCs w:val="24"/>
          <w:highlight w:val="none"/>
        </w:rPr>
      </w:pPr>
      <w:r>
        <w:rPr>
          <w:rFonts w:hint="eastAsia" w:hAnsi="宋体" w:cs="宋体"/>
          <w:b/>
          <w:sz w:val="24"/>
          <w:szCs w:val="24"/>
          <w:highlight w:val="none"/>
        </w:rPr>
        <w:t>2.投标人法定代表人授权委托书（如法定代表人本人参加的，则提供法定代表人身份证明及法定代表人身份证复印件)</w:t>
      </w:r>
    </w:p>
    <w:p>
      <w:pPr>
        <w:snapToGrid w:val="0"/>
        <w:spacing w:before="50" w:after="50"/>
        <w:jc w:val="center"/>
        <w:rPr>
          <w:rFonts w:hAnsi="宋体" w:cs="宋体"/>
          <w:sz w:val="24"/>
          <w:highlight w:val="none"/>
        </w:rPr>
      </w:pPr>
      <w:r>
        <w:rPr>
          <w:rFonts w:hint="eastAsia" w:hAnsi="宋体" w:cs="宋体"/>
          <w:b/>
          <w:sz w:val="24"/>
          <w:highlight w:val="none"/>
        </w:rPr>
        <w:t>法定代表人授权委托书</w:t>
      </w:r>
    </w:p>
    <w:p>
      <w:pPr>
        <w:spacing w:line="360" w:lineRule="auto"/>
        <w:ind w:firstLine="480"/>
        <w:rPr>
          <w:rFonts w:hAnsi="宋体" w:cs="宋体"/>
          <w:sz w:val="24"/>
          <w:highlight w:val="none"/>
        </w:rPr>
      </w:pPr>
      <w:r>
        <w:rPr>
          <w:rFonts w:hint="eastAsia" w:hAnsi="宋体" w:cs="宋体"/>
          <w:sz w:val="24"/>
          <w:highlight w:val="none"/>
        </w:rPr>
        <w:t>采购单位、代理公司：</w:t>
      </w:r>
    </w:p>
    <w:p>
      <w:pPr>
        <w:spacing w:line="460" w:lineRule="exact"/>
        <w:ind w:firstLine="482"/>
        <w:rPr>
          <w:rFonts w:hAnsi="宋体" w:cs="宋体"/>
          <w:sz w:val="24"/>
          <w:highlight w:val="none"/>
        </w:rPr>
      </w:pPr>
      <w:r>
        <w:rPr>
          <w:rFonts w:hint="eastAsia" w:hAnsi="宋体" w:cs="宋体"/>
          <w:sz w:val="24"/>
          <w:highlight w:val="none"/>
        </w:rPr>
        <w:t>--------------------------------------------------------（投标人名称）法定代表人------------------------授权------------------------------（全权代表姓名）为全权代表，参加贵单位组织的-------------------------------------------招标活动，全权处理招标活动中的一切事宜。</w:t>
      </w:r>
    </w:p>
    <w:p>
      <w:pPr>
        <w:spacing w:line="360" w:lineRule="auto"/>
        <w:ind w:firstLine="480"/>
        <w:rPr>
          <w:rFonts w:hAnsi="宋体" w:cs="宋体"/>
          <w:sz w:val="24"/>
          <w:highlight w:val="none"/>
        </w:rPr>
      </w:pPr>
      <w:r>
        <w:rPr>
          <w:rFonts w:hint="eastAsia" w:hAnsi="宋体" w:cs="宋体"/>
          <w:sz w:val="24"/>
          <w:highlight w:val="none"/>
        </w:rPr>
        <w:t>法人代表签字或签章：</w:t>
      </w:r>
    </w:p>
    <w:p>
      <w:pPr>
        <w:spacing w:line="460" w:lineRule="exact"/>
        <w:ind w:firstLine="480" w:firstLineChars="200"/>
        <w:rPr>
          <w:rFonts w:hAnsi="宋体" w:cs="宋体"/>
          <w:sz w:val="24"/>
          <w:highlight w:val="none"/>
        </w:rPr>
      </w:pPr>
      <w:r>
        <w:rPr>
          <w:rFonts w:hint="eastAsia" w:hAnsi="宋体" w:cs="宋体"/>
          <w:sz w:val="24"/>
          <w:highlight w:val="none"/>
        </w:rPr>
        <w:t>附：</w:t>
      </w:r>
    </w:p>
    <w:p>
      <w:pPr>
        <w:spacing w:line="460" w:lineRule="exact"/>
        <w:ind w:firstLine="480"/>
        <w:rPr>
          <w:rFonts w:hAnsi="宋体" w:cs="宋体"/>
          <w:sz w:val="24"/>
          <w:highlight w:val="none"/>
        </w:rPr>
      </w:pPr>
      <w:r>
        <w:rPr>
          <w:rFonts w:hint="eastAsia" w:hAnsi="宋体" w:cs="宋体"/>
          <w:sz w:val="24"/>
          <w:highlight w:val="none"/>
        </w:rPr>
        <w:t>全权代表签字：</w:t>
      </w:r>
    </w:p>
    <w:p>
      <w:pPr>
        <w:spacing w:line="460" w:lineRule="exact"/>
        <w:ind w:firstLine="480" w:firstLineChars="200"/>
        <w:rPr>
          <w:rFonts w:hAnsi="宋体" w:cs="宋体"/>
          <w:sz w:val="24"/>
          <w:highlight w:val="none"/>
        </w:rPr>
      </w:pPr>
      <w:r>
        <w:rPr>
          <w:rFonts w:hint="eastAsia" w:hAnsi="宋体" w:cs="宋体"/>
          <w:sz w:val="24"/>
          <w:highlight w:val="none"/>
        </w:rPr>
        <w:t>职        务：</w:t>
      </w:r>
    </w:p>
    <w:p>
      <w:pPr>
        <w:spacing w:line="460" w:lineRule="exact"/>
        <w:ind w:firstLine="480" w:firstLineChars="200"/>
        <w:rPr>
          <w:rFonts w:hAnsi="宋体" w:cs="宋体"/>
          <w:sz w:val="24"/>
          <w:highlight w:val="none"/>
        </w:rPr>
      </w:pPr>
      <w:r>
        <w:rPr>
          <w:rFonts w:hint="eastAsia" w:hAnsi="宋体" w:cs="宋体"/>
          <w:sz w:val="24"/>
          <w:highlight w:val="none"/>
        </w:rPr>
        <w:t>详细通讯地址：</w:t>
      </w:r>
    </w:p>
    <w:p>
      <w:pPr>
        <w:spacing w:line="460" w:lineRule="exact"/>
        <w:ind w:firstLine="480" w:firstLineChars="200"/>
        <w:rPr>
          <w:rFonts w:hAnsi="宋体" w:cs="宋体"/>
          <w:sz w:val="24"/>
          <w:highlight w:val="none"/>
        </w:rPr>
      </w:pPr>
      <w:r>
        <w:rPr>
          <w:rFonts w:hint="eastAsia" w:hAnsi="宋体" w:cs="宋体"/>
          <w:sz w:val="24"/>
          <w:highlight w:val="none"/>
        </w:rPr>
        <w:t>邮政编码：</w:t>
      </w:r>
    </w:p>
    <w:p>
      <w:pPr>
        <w:spacing w:line="460" w:lineRule="exact"/>
        <w:ind w:firstLine="480" w:firstLineChars="200"/>
        <w:rPr>
          <w:rFonts w:hAnsi="宋体" w:cs="宋体"/>
          <w:sz w:val="24"/>
          <w:highlight w:val="none"/>
        </w:rPr>
      </w:pPr>
      <w:r>
        <w:rPr>
          <w:rFonts w:hint="eastAsia" w:hAnsi="宋体" w:cs="宋体"/>
          <w:sz w:val="24"/>
          <w:highlight w:val="none"/>
        </w:rPr>
        <w:t>传        真：</w:t>
      </w:r>
    </w:p>
    <w:p>
      <w:pPr>
        <w:snapToGrid w:val="0"/>
        <w:spacing w:before="50" w:after="50" w:line="460" w:lineRule="exact"/>
        <w:ind w:firstLine="480" w:firstLineChars="200"/>
        <w:rPr>
          <w:rFonts w:hAnsi="宋体" w:cs="宋体"/>
          <w:sz w:val="24"/>
          <w:highlight w:val="none"/>
        </w:rPr>
      </w:pPr>
      <w:r>
        <w:rPr>
          <w:rFonts w:hint="eastAsia" w:hAnsi="宋体" w:cs="宋体"/>
          <w:sz w:val="24"/>
          <w:highlight w:val="none"/>
        </w:rPr>
        <w:t>电        话：</w:t>
      </w:r>
    </w:p>
    <w:p>
      <w:pPr>
        <w:spacing w:line="360" w:lineRule="auto"/>
        <w:ind w:firstLine="480"/>
        <w:rPr>
          <w:rFonts w:hAnsi="宋体" w:cs="宋体"/>
          <w:sz w:val="24"/>
          <w:highlight w:val="none"/>
        </w:rPr>
      </w:pPr>
      <w:r>
        <w:rPr>
          <w:rFonts w:hint="eastAsia" w:hAnsi="宋体" w:cs="宋体"/>
          <w:sz w:val="24"/>
          <w:highlight w:val="none"/>
        </w:rPr>
        <w:t>法定代表人身份证（正反面）复印件粘贴处</w:t>
      </w:r>
    </w:p>
    <w:p>
      <w:pPr>
        <w:snapToGrid w:val="0"/>
        <w:spacing w:before="50" w:after="50"/>
        <w:ind w:firstLine="480" w:firstLineChars="200"/>
        <w:rPr>
          <w:rFonts w:hAnsi="宋体" w:cs="宋体"/>
          <w:sz w:val="24"/>
          <w:highlight w:val="none"/>
        </w:rPr>
      </w:pPr>
    </w:p>
    <w:p>
      <w:pPr>
        <w:spacing w:line="360" w:lineRule="auto"/>
        <w:ind w:firstLine="480"/>
        <w:rPr>
          <w:rFonts w:hAnsi="宋体" w:cs="宋体"/>
          <w:sz w:val="24"/>
          <w:highlight w:val="none"/>
        </w:rPr>
      </w:pPr>
      <w:r>
        <w:rPr>
          <w:rFonts w:hint="eastAsia" w:hAnsi="宋体" w:cs="宋体"/>
          <w:sz w:val="24"/>
          <w:highlight w:val="none"/>
        </w:rPr>
        <w:t>授权代表身份证（正反面）复印件粘贴处</w:t>
      </w:r>
    </w:p>
    <w:p>
      <w:pPr>
        <w:spacing w:line="360" w:lineRule="auto"/>
        <w:ind w:firstLine="4680" w:firstLineChars="1950"/>
        <w:rPr>
          <w:rFonts w:hAnsi="宋体" w:cs="宋体"/>
          <w:sz w:val="24"/>
          <w:highlight w:val="none"/>
        </w:rPr>
      </w:pPr>
      <w:r>
        <w:rPr>
          <w:rFonts w:hint="eastAsia" w:hAnsi="宋体" w:cs="宋体"/>
          <w:sz w:val="24"/>
          <w:highlight w:val="none"/>
        </w:rPr>
        <w:t>投标人全称（公章）：</w:t>
      </w:r>
    </w:p>
    <w:p>
      <w:pPr>
        <w:snapToGrid w:val="0"/>
        <w:spacing w:before="50" w:after="50"/>
        <w:ind w:firstLine="6360" w:firstLineChars="2650"/>
        <w:rPr>
          <w:rFonts w:hAnsi="宋体" w:cs="宋体"/>
          <w:sz w:val="24"/>
          <w:highlight w:val="none"/>
        </w:rPr>
      </w:pPr>
      <w:r>
        <w:rPr>
          <w:rFonts w:hint="eastAsia" w:hAnsi="宋体" w:cs="宋体"/>
          <w:sz w:val="24"/>
          <w:highlight w:val="none"/>
        </w:rPr>
        <w:t xml:space="preserve">日期：  年  月   日   </w:t>
      </w:r>
    </w:p>
    <w:p>
      <w:pPr>
        <w:snapToGrid w:val="0"/>
        <w:spacing w:before="50" w:after="50"/>
        <w:ind w:firstLine="480" w:firstLineChars="200"/>
        <w:rPr>
          <w:rFonts w:hAnsi="宋体" w:cs="宋体"/>
          <w:sz w:val="24"/>
          <w:highlight w:val="none"/>
        </w:rPr>
      </w:pPr>
    </w:p>
    <w:p>
      <w:pPr>
        <w:snapToGrid w:val="0"/>
        <w:spacing w:line="460" w:lineRule="exact"/>
        <w:jc w:val="center"/>
        <w:rPr>
          <w:rFonts w:hAnsi="宋体" w:cs="宋体"/>
          <w:b/>
          <w:sz w:val="24"/>
          <w:szCs w:val="24"/>
          <w:highlight w:val="none"/>
        </w:rPr>
      </w:pPr>
    </w:p>
    <w:p>
      <w:pPr>
        <w:snapToGrid w:val="0"/>
        <w:spacing w:line="460" w:lineRule="exact"/>
        <w:jc w:val="center"/>
        <w:rPr>
          <w:rFonts w:hAnsi="宋体" w:cs="宋体"/>
          <w:b/>
          <w:sz w:val="24"/>
          <w:szCs w:val="24"/>
          <w:highlight w:val="none"/>
        </w:rPr>
      </w:pPr>
      <w:r>
        <w:rPr>
          <w:rFonts w:hint="eastAsia" w:hAnsi="宋体" w:cs="宋体"/>
          <w:b/>
          <w:sz w:val="24"/>
          <w:szCs w:val="24"/>
          <w:highlight w:val="none"/>
        </w:rPr>
        <w:t>3.符合参加政府采购活动应当具备的一般条件的承诺函</w:t>
      </w:r>
    </w:p>
    <w:p>
      <w:pPr>
        <w:snapToGrid w:val="0"/>
        <w:spacing w:line="500" w:lineRule="exact"/>
        <w:rPr>
          <w:rFonts w:hAnsi="宋体" w:cs="宋体"/>
          <w:sz w:val="21"/>
          <w:szCs w:val="21"/>
          <w:highlight w:val="none"/>
        </w:rPr>
      </w:pPr>
      <w:r>
        <w:rPr>
          <w:rFonts w:hint="eastAsia" w:hAnsi="宋体" w:cs="宋体"/>
          <w:sz w:val="21"/>
          <w:szCs w:val="21"/>
          <w:highlight w:val="none"/>
        </w:rPr>
        <w:t>（采购人）、（采购代理机构）：</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我方参与（项目名称）【招标编号：（采购编号）】政府采购活动，郑重承诺：</w:t>
      </w:r>
    </w:p>
    <w:p>
      <w:pPr>
        <w:snapToGrid w:val="0"/>
        <w:spacing w:line="500" w:lineRule="exact"/>
        <w:ind w:firstLine="315" w:firstLineChars="150"/>
        <w:rPr>
          <w:rFonts w:hAnsi="宋体" w:cs="宋体"/>
          <w:sz w:val="21"/>
          <w:szCs w:val="21"/>
          <w:highlight w:val="none"/>
        </w:rPr>
      </w:pPr>
      <w:r>
        <w:rPr>
          <w:rFonts w:hint="eastAsia" w:hAnsi="宋体" w:cs="宋体"/>
          <w:sz w:val="21"/>
          <w:szCs w:val="21"/>
          <w:highlight w:val="none"/>
        </w:rPr>
        <w:t>（一）具备《中华人民共和国政府采购法》第二十二条第一款规定的条件：</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1.具有独立承担民事责任的能力；</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 xml:space="preserve">2.具有良好的商业信誉和健全的财务会计制度； </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3.具有履行合同所必需的设备和专业技术能力；</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4.有依法缴纳税收和社会保障资金的良好记录；</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5.参加政府采购活动前三年内，在经营活动中没有重大违法记录；</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6.具有法律、行政法规规定的其他条件。</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（二）未被信用中国（www.creditchina.gov.cn)、中国政府采购网（www.ccgp.gov.cn）列入失信被执行人、重大税收违法案件当事人名单、政府采购严重违法失信行为记录名单。</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（三）不存在以下情况：</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1.单位负责人为同一人或者存在直接控股、管理关系的不同供应商参加同一合同项下的政府采购活动的；</w:t>
      </w:r>
    </w:p>
    <w:p>
      <w:pPr>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2.为采购项目提供整体设计、规范编制或者项目管理、监理、检测等服务后再参加该采购项目的其他采购活动的。</w:t>
      </w:r>
    </w:p>
    <w:p>
      <w:pPr>
        <w:snapToGrid w:val="0"/>
        <w:spacing w:line="500" w:lineRule="exact"/>
        <w:ind w:firstLine="1680" w:firstLineChars="800"/>
        <w:rPr>
          <w:rFonts w:hAnsi="宋体" w:cs="宋体"/>
          <w:sz w:val="21"/>
          <w:szCs w:val="21"/>
          <w:highlight w:val="none"/>
        </w:rPr>
      </w:pPr>
    </w:p>
    <w:p>
      <w:pPr>
        <w:snapToGrid w:val="0"/>
        <w:spacing w:line="500" w:lineRule="exact"/>
        <w:ind w:firstLine="5040" w:firstLineChars="2400"/>
        <w:rPr>
          <w:rFonts w:hAnsi="宋体" w:cs="宋体"/>
          <w:sz w:val="21"/>
          <w:szCs w:val="21"/>
          <w:highlight w:val="none"/>
        </w:rPr>
      </w:pPr>
      <w:r>
        <w:rPr>
          <w:rFonts w:hint="eastAsia" w:hAnsi="宋体" w:cs="宋体"/>
          <w:sz w:val="21"/>
          <w:szCs w:val="21"/>
          <w:highlight w:val="none"/>
        </w:rPr>
        <w:t>投标人全称（加盖公章）：</w:t>
      </w:r>
    </w:p>
    <w:p>
      <w:pPr>
        <w:snapToGrid w:val="0"/>
        <w:spacing w:line="500" w:lineRule="exact"/>
        <w:ind w:firstLine="5460" w:firstLineChars="2600"/>
        <w:rPr>
          <w:rFonts w:hAnsi="宋体" w:cs="宋体"/>
          <w:sz w:val="21"/>
          <w:szCs w:val="21"/>
          <w:highlight w:val="none"/>
        </w:rPr>
      </w:pPr>
      <w:r>
        <w:rPr>
          <w:rFonts w:hint="eastAsia" w:hAnsi="宋体" w:cs="宋体"/>
          <w:sz w:val="21"/>
          <w:szCs w:val="21"/>
          <w:highlight w:val="none"/>
          <w:lang w:val="zh-CN"/>
        </w:rPr>
        <w:t>日期</w:t>
      </w:r>
      <w:r>
        <w:rPr>
          <w:rFonts w:hint="eastAsia" w:hAnsi="宋体" w:cs="宋体"/>
          <w:sz w:val="21"/>
          <w:szCs w:val="21"/>
          <w:highlight w:val="none"/>
        </w:rPr>
        <w:t xml:space="preserve">：  年  </w:t>
      </w:r>
      <w:r>
        <w:rPr>
          <w:rFonts w:hint="eastAsia" w:hAnsi="宋体" w:cs="宋体"/>
          <w:sz w:val="21"/>
          <w:szCs w:val="21"/>
          <w:highlight w:val="none"/>
          <w:lang w:val="zh-CN"/>
        </w:rPr>
        <w:t>月日</w:t>
      </w:r>
    </w:p>
    <w:p>
      <w:pPr>
        <w:snapToGrid w:val="0"/>
        <w:spacing w:line="360" w:lineRule="auto"/>
        <w:rPr>
          <w:rFonts w:hAnsi="宋体" w:cs="宋体"/>
          <w:b/>
          <w:bCs/>
          <w:sz w:val="24"/>
          <w:szCs w:val="24"/>
          <w:highlight w:val="none"/>
        </w:rPr>
      </w:pPr>
    </w:p>
    <w:p>
      <w:pPr>
        <w:rPr>
          <w:rFonts w:hAnsi="宋体" w:cs="宋体"/>
          <w:b/>
          <w:kern w:val="1"/>
          <w:sz w:val="24"/>
          <w:szCs w:val="24"/>
          <w:highlight w:val="none"/>
        </w:rPr>
      </w:pPr>
    </w:p>
    <w:p>
      <w:pPr>
        <w:widowControl/>
        <w:snapToGrid w:val="0"/>
        <w:spacing w:line="460" w:lineRule="exact"/>
        <w:jc w:val="center"/>
        <w:rPr>
          <w:rFonts w:hAnsi="宋体" w:cs="宋体"/>
          <w:b/>
          <w:sz w:val="24"/>
          <w:szCs w:val="24"/>
          <w:highlight w:val="none"/>
        </w:rPr>
      </w:pPr>
      <w:r>
        <w:rPr>
          <w:rFonts w:hint="eastAsia" w:hAnsi="宋体" w:cs="宋体"/>
          <w:b/>
          <w:sz w:val="24"/>
          <w:szCs w:val="24"/>
          <w:highlight w:val="none"/>
        </w:rPr>
        <w:t>4.本项目的特定资格要求</w:t>
      </w:r>
    </w:p>
    <w:p>
      <w:pPr>
        <w:spacing w:line="360" w:lineRule="auto"/>
        <w:jc w:val="center"/>
        <w:rPr>
          <w:rFonts w:hAnsi="宋体" w:cs="宋体"/>
          <w:sz w:val="21"/>
          <w:szCs w:val="21"/>
          <w:highlight w:val="none"/>
        </w:rPr>
      </w:pPr>
      <w:r>
        <w:rPr>
          <w:rFonts w:hint="eastAsia" w:hAnsi="宋体" w:cs="宋体"/>
          <w:sz w:val="21"/>
          <w:szCs w:val="21"/>
          <w:highlight w:val="none"/>
        </w:rPr>
        <w:t>（根据招标公告本项目的特定资格要求提供相应的材料；未要求的，无需提供）</w:t>
      </w:r>
    </w:p>
    <w:p>
      <w:pPr>
        <w:rPr>
          <w:rFonts w:hAnsi="宋体" w:cs="宋体"/>
          <w:b/>
          <w:kern w:val="1"/>
          <w:sz w:val="24"/>
          <w:szCs w:val="24"/>
          <w:highlight w:val="none"/>
        </w:rPr>
      </w:pPr>
    </w:p>
    <w:p>
      <w:pPr>
        <w:rPr>
          <w:rFonts w:hAnsi="宋体" w:cs="宋体"/>
          <w:b/>
          <w:kern w:val="1"/>
          <w:sz w:val="24"/>
          <w:szCs w:val="24"/>
          <w:highlight w:val="none"/>
        </w:rPr>
      </w:pPr>
      <w:r>
        <w:rPr>
          <w:rFonts w:hint="eastAsia" w:hAnsi="宋体" w:cs="宋体"/>
          <w:b/>
          <w:kern w:val="1"/>
          <w:sz w:val="24"/>
          <w:szCs w:val="24"/>
          <w:highlight w:val="none"/>
        </w:rPr>
        <w:br w:type="page"/>
      </w:r>
    </w:p>
    <w:p>
      <w:pPr>
        <w:snapToGrid w:val="0"/>
        <w:spacing w:before="317" w:beforeLines="50" w:after="50"/>
        <w:rPr>
          <w:rFonts w:hAnsi="宋体" w:cs="宋体"/>
          <w:b/>
          <w:bCs/>
          <w:sz w:val="24"/>
          <w:highlight w:val="none"/>
        </w:rPr>
      </w:pPr>
      <w:r>
        <w:rPr>
          <w:rFonts w:hint="eastAsia" w:hAnsi="宋体" w:cs="宋体"/>
          <w:b/>
          <w:bCs/>
          <w:sz w:val="24"/>
          <w:highlight w:val="none"/>
        </w:rPr>
        <w:t>（二）商务技术文件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（1）投标人技术商务标自评得分汇总表；（格式见附件）；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（2）投标人情况表（格式见附件）；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（3）投标人相关资质证书及获得的相关荣誉证书（扫描件或复印件加盖单位公章）；</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（4）投标人2019年1月1日以来类似案例成功的业绩（须提供对应采购合同复印件/扫描件等相关资料）（加盖公章）（格式见附件）；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（5）拟投入本项目的服务人员配置表（格式见附件）；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（6）商务技术偏离表（格式见附件）；</w:t>
      </w:r>
    </w:p>
    <w:p>
      <w:pPr>
        <w:autoSpaceDE/>
        <w:autoSpaceDN/>
        <w:adjustRightInd/>
        <w:spacing w:line="500" w:lineRule="exact"/>
        <w:ind w:firstLine="420" w:firstLineChars="200"/>
        <w:jc w:val="both"/>
        <w:rPr>
          <w:rFonts w:hAnsi="宋体" w:cs="Arial"/>
          <w:sz w:val="21"/>
          <w:szCs w:val="21"/>
          <w:highlight w:val="none"/>
        </w:rPr>
      </w:pPr>
      <w:r>
        <w:rPr>
          <w:rFonts w:hint="eastAsia" w:hAnsi="宋体" w:cs="Arial"/>
          <w:sz w:val="21"/>
          <w:szCs w:val="21"/>
          <w:highlight w:val="none"/>
        </w:rPr>
        <w:t>（7）设备（或产品）配置清单（格式见附件），列出详细规格型号、产品出厂标准、质量检测报告、主要技术、配置、性能、特点和质量水平的详细描述（应包括主要部件、零部件配置清单、来源、产地、规格及其参数、承诺和保证说明等）及产品样本图册或彩页(数量自定)</w:t>
      </w:r>
    </w:p>
    <w:p>
      <w:pPr>
        <w:autoSpaceDE/>
        <w:autoSpaceDN/>
        <w:adjustRightInd/>
        <w:spacing w:line="500" w:lineRule="exact"/>
        <w:ind w:firstLine="420" w:firstLineChars="200"/>
        <w:jc w:val="both"/>
        <w:rPr>
          <w:rFonts w:hAnsi="宋体" w:cs="Arial"/>
          <w:sz w:val="21"/>
          <w:szCs w:val="21"/>
          <w:highlight w:val="none"/>
        </w:rPr>
      </w:pPr>
      <w:r>
        <w:rPr>
          <w:rFonts w:hint="eastAsia" w:hAnsi="宋体" w:cs="Arial"/>
          <w:sz w:val="21"/>
          <w:szCs w:val="21"/>
          <w:highlight w:val="none"/>
        </w:rPr>
        <w:t>（8）技术响应表（格式见附件）；</w:t>
      </w:r>
    </w:p>
    <w:p>
      <w:pPr>
        <w:autoSpaceDE/>
        <w:autoSpaceDN/>
        <w:snapToGrid w:val="0"/>
        <w:spacing w:line="500" w:lineRule="exact"/>
        <w:ind w:firstLine="420" w:firstLineChars="200"/>
        <w:jc w:val="both"/>
        <w:rPr>
          <w:rFonts w:hAnsi="宋体" w:cs="宋体"/>
          <w:sz w:val="21"/>
          <w:szCs w:val="21"/>
          <w:highlight w:val="none"/>
        </w:rPr>
      </w:pPr>
      <w:r>
        <w:rPr>
          <w:rFonts w:hint="eastAsia" w:hAnsi="宋体" w:cs="宋体"/>
          <w:sz w:val="21"/>
          <w:szCs w:val="21"/>
          <w:highlight w:val="none"/>
        </w:rPr>
        <w:t>（9）针对本项目的服务方案（格式自拟）；</w:t>
      </w:r>
    </w:p>
    <w:p>
      <w:pPr>
        <w:autoSpaceDE/>
        <w:autoSpaceDN/>
        <w:adjustRightInd/>
        <w:spacing w:line="500" w:lineRule="exact"/>
        <w:ind w:firstLine="420" w:firstLineChars="200"/>
        <w:jc w:val="both"/>
        <w:rPr>
          <w:rFonts w:hAnsi="宋体" w:cs="宋体"/>
          <w:sz w:val="21"/>
          <w:szCs w:val="21"/>
          <w:highlight w:val="none"/>
        </w:rPr>
      </w:pPr>
      <w:r>
        <w:rPr>
          <w:rFonts w:hint="eastAsia" w:hAnsi="宋体" w:cs="宋体"/>
          <w:sz w:val="21"/>
          <w:szCs w:val="21"/>
          <w:highlight w:val="none"/>
        </w:rPr>
        <w:t>（10）投标人需要说明的其他文件和说明（格式略）。</w:t>
      </w: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pStyle w:val="22"/>
        <w:ind w:firstLine="210"/>
        <w:rPr>
          <w:rFonts w:ascii="宋体" w:hAnsi="宋体" w:cs="宋体"/>
          <w:sz w:val="21"/>
          <w:szCs w:val="21"/>
          <w:highlight w:val="none"/>
        </w:rPr>
      </w:pPr>
    </w:p>
    <w:p>
      <w:pPr>
        <w:pStyle w:val="39"/>
        <w:rPr>
          <w:rFonts w:ascii="宋体" w:hAnsi="宋体" w:cs="宋体"/>
          <w:sz w:val="21"/>
          <w:szCs w:val="21"/>
          <w:highlight w:val="none"/>
        </w:rPr>
      </w:pPr>
    </w:p>
    <w:p>
      <w:pPr>
        <w:rPr>
          <w:rFonts w:hAnsi="宋体" w:cs="宋体"/>
          <w:highlight w:val="none"/>
        </w:rPr>
      </w:pPr>
    </w:p>
    <w:p>
      <w:pPr>
        <w:pStyle w:val="2"/>
        <w:ind w:left="680"/>
        <w:rPr>
          <w:rFonts w:ascii="宋体" w:hAnsi="宋体" w:cs="宋体"/>
          <w:highlight w:val="none"/>
        </w:rPr>
      </w:pPr>
    </w:p>
    <w:p>
      <w:pPr>
        <w:autoSpaceDE/>
        <w:autoSpaceDN/>
        <w:adjustRightInd/>
        <w:spacing w:line="500" w:lineRule="exact"/>
        <w:ind w:firstLine="420" w:firstLineChars="200"/>
        <w:jc w:val="both"/>
        <w:rPr>
          <w:rFonts w:hAnsi="宋体" w:cs="宋体"/>
          <w:sz w:val="21"/>
          <w:szCs w:val="21"/>
          <w:highlight w:val="none"/>
        </w:rPr>
      </w:pPr>
    </w:p>
    <w:p>
      <w:pPr>
        <w:autoSpaceDE/>
        <w:autoSpaceDN/>
        <w:adjustRightInd/>
        <w:spacing w:line="500" w:lineRule="exact"/>
        <w:ind w:firstLine="420" w:firstLineChars="200"/>
        <w:jc w:val="both"/>
        <w:rPr>
          <w:rFonts w:hAnsi="宋体" w:cs="宋体"/>
          <w:sz w:val="21"/>
          <w:szCs w:val="21"/>
          <w:highlight w:val="none"/>
        </w:rPr>
      </w:pPr>
    </w:p>
    <w:p>
      <w:pPr>
        <w:rPr>
          <w:rFonts w:hAnsi="宋体" w:cs="宋体"/>
          <w:b/>
          <w:sz w:val="24"/>
          <w:highlight w:val="none"/>
        </w:rPr>
      </w:pPr>
      <w:r>
        <w:rPr>
          <w:rFonts w:hint="eastAsia" w:hAnsi="宋体" w:cs="宋体"/>
          <w:b/>
          <w:sz w:val="24"/>
          <w:highlight w:val="none"/>
        </w:rPr>
        <w:br w:type="page"/>
      </w:r>
    </w:p>
    <w:p>
      <w:pPr>
        <w:snapToGrid w:val="0"/>
        <w:spacing w:before="50" w:after="50"/>
        <w:rPr>
          <w:rFonts w:hAnsi="宋体" w:cs="宋体"/>
          <w:b/>
          <w:sz w:val="24"/>
          <w:highlight w:val="none"/>
        </w:rPr>
      </w:pPr>
      <w:r>
        <w:rPr>
          <w:rFonts w:hint="eastAsia" w:hAnsi="宋体" w:cs="宋体"/>
          <w:b/>
          <w:sz w:val="24"/>
          <w:highlight w:val="none"/>
        </w:rPr>
        <w:t>1.投标人技术商务标自评得分汇总表（格式参照技术商务评分表，需标注对应页码）</w:t>
      </w:r>
    </w:p>
    <w:tbl>
      <w:tblPr>
        <w:tblStyle w:val="46"/>
        <w:tblW w:w="8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85"/>
        <w:gridCol w:w="2190"/>
        <w:gridCol w:w="766"/>
        <w:gridCol w:w="1110"/>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36"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序号</w:t>
            </w:r>
          </w:p>
        </w:tc>
        <w:tc>
          <w:tcPr>
            <w:tcW w:w="1485"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评分项目</w:t>
            </w:r>
          </w:p>
        </w:tc>
        <w:tc>
          <w:tcPr>
            <w:tcW w:w="2190"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评标要点及说明</w:t>
            </w:r>
          </w:p>
        </w:tc>
        <w:tc>
          <w:tcPr>
            <w:tcW w:w="766"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分值</w:t>
            </w:r>
          </w:p>
        </w:tc>
        <w:tc>
          <w:tcPr>
            <w:tcW w:w="1110"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自评分</w:t>
            </w:r>
          </w:p>
        </w:tc>
        <w:tc>
          <w:tcPr>
            <w:tcW w:w="1937" w:type="dxa"/>
            <w:vAlign w:val="center"/>
          </w:tcPr>
          <w:p>
            <w:pPr>
              <w:widowControl/>
              <w:autoSpaceDE/>
              <w:autoSpaceDN/>
              <w:adjustRightInd/>
              <w:snapToGrid w:val="0"/>
              <w:spacing w:line="460" w:lineRule="exact"/>
              <w:jc w:val="center"/>
              <w:rPr>
                <w:rFonts w:hAnsi="宋体" w:cs="宋体"/>
                <w:sz w:val="21"/>
                <w:szCs w:val="21"/>
                <w:highlight w:val="none"/>
              </w:rPr>
            </w:pPr>
            <w:r>
              <w:rPr>
                <w:rFonts w:hint="eastAsia" w:hAnsi="宋体" w:cs="宋体"/>
                <w:sz w:val="21"/>
                <w:szCs w:val="21"/>
                <w:highlight w:val="none"/>
              </w:rPr>
              <w:t>投标文件响应页码</w:t>
            </w:r>
          </w:p>
        </w:tc>
      </w:tr>
    </w:tbl>
    <w:p>
      <w:pPr>
        <w:snapToGrid w:val="0"/>
        <w:spacing w:before="50" w:after="50"/>
        <w:rPr>
          <w:rFonts w:hAnsi="宋体" w:cs="宋体"/>
          <w:sz w:val="24"/>
          <w:highlight w:val="none"/>
        </w:rPr>
      </w:pPr>
    </w:p>
    <w:p>
      <w:pPr>
        <w:snapToGrid w:val="0"/>
        <w:spacing w:before="50" w:after="50"/>
        <w:jc w:val="center"/>
        <w:rPr>
          <w:rFonts w:hAnsi="宋体" w:cs="宋体"/>
          <w:b/>
          <w:sz w:val="24"/>
          <w:szCs w:val="22"/>
          <w:highlight w:val="none"/>
        </w:rPr>
      </w:pPr>
      <w:r>
        <w:rPr>
          <w:rFonts w:hint="eastAsia" w:hAnsi="宋体" w:cs="宋体"/>
          <w:b/>
          <w:sz w:val="24"/>
          <w:szCs w:val="22"/>
          <w:highlight w:val="none"/>
        </w:rPr>
        <w:t>2.投标人情况表</w:t>
      </w:r>
    </w:p>
    <w:tbl>
      <w:tblPr>
        <w:tblStyle w:val="46"/>
        <w:tblW w:w="9450" w:type="dxa"/>
        <w:jc w:val="center"/>
        <w:tblLayout w:type="fixed"/>
        <w:tblCellMar>
          <w:top w:w="0" w:type="dxa"/>
          <w:left w:w="108" w:type="dxa"/>
          <w:bottom w:w="0" w:type="dxa"/>
          <w:right w:w="108" w:type="dxa"/>
        </w:tblCellMar>
      </w:tblPr>
      <w:tblGrid>
        <w:gridCol w:w="1980"/>
        <w:gridCol w:w="3443"/>
        <w:gridCol w:w="877"/>
        <w:gridCol w:w="650"/>
        <w:gridCol w:w="2500"/>
      </w:tblGrid>
      <w:tr>
        <w:tblPrEx>
          <w:tblCellMar>
            <w:top w:w="0" w:type="dxa"/>
            <w:left w:w="108" w:type="dxa"/>
            <w:bottom w:w="0" w:type="dxa"/>
            <w:right w:w="108" w:type="dxa"/>
          </w:tblCellMar>
        </w:tblPrEx>
        <w:trPr>
          <w:trHeight w:val="732"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单位名称</w:t>
            </w:r>
          </w:p>
        </w:tc>
        <w:tc>
          <w:tcPr>
            <w:tcW w:w="3443" w:type="dxa"/>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c>
          <w:tcPr>
            <w:tcW w:w="1527" w:type="dxa"/>
            <w:gridSpan w:val="2"/>
            <w:tcBorders>
              <w:top w:val="single" w:color="auto" w:sz="4" w:space="0"/>
              <w:left w:val="nil"/>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注册资金</w:t>
            </w:r>
          </w:p>
        </w:tc>
        <w:tc>
          <w:tcPr>
            <w:tcW w:w="2500" w:type="dxa"/>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r>
      <w:tr>
        <w:tblPrEx>
          <w:tblCellMar>
            <w:top w:w="0" w:type="dxa"/>
            <w:left w:w="108" w:type="dxa"/>
            <w:bottom w:w="0" w:type="dxa"/>
            <w:right w:w="108" w:type="dxa"/>
          </w:tblCellMar>
        </w:tblPrEx>
        <w:trPr>
          <w:trHeight w:val="708"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单位详细地址</w:t>
            </w:r>
          </w:p>
        </w:tc>
        <w:tc>
          <w:tcPr>
            <w:tcW w:w="7470" w:type="dxa"/>
            <w:gridSpan w:val="4"/>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r>
      <w:tr>
        <w:tblPrEx>
          <w:tblCellMar>
            <w:top w:w="0" w:type="dxa"/>
            <w:left w:w="108" w:type="dxa"/>
            <w:bottom w:w="0" w:type="dxa"/>
            <w:right w:w="108" w:type="dxa"/>
          </w:tblCellMar>
        </w:tblPrEx>
        <w:trPr>
          <w:cantSplit/>
          <w:trHeight w:val="49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营业执照注册号</w:t>
            </w:r>
          </w:p>
        </w:tc>
        <w:tc>
          <w:tcPr>
            <w:tcW w:w="7470" w:type="dxa"/>
            <w:gridSpan w:val="4"/>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r>
      <w:tr>
        <w:tblPrEx>
          <w:tblCellMar>
            <w:top w:w="0" w:type="dxa"/>
            <w:left w:w="108" w:type="dxa"/>
            <w:bottom w:w="0" w:type="dxa"/>
            <w:right w:w="108" w:type="dxa"/>
          </w:tblCellMar>
        </w:tblPrEx>
        <w:trPr>
          <w:cantSplit/>
          <w:trHeight w:val="602"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单位成立时间</w:t>
            </w:r>
          </w:p>
        </w:tc>
        <w:tc>
          <w:tcPr>
            <w:tcW w:w="4320" w:type="dxa"/>
            <w:gridSpan w:val="2"/>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c>
          <w:tcPr>
            <w:tcW w:w="3150" w:type="dxa"/>
            <w:gridSpan w:val="2"/>
            <w:tcBorders>
              <w:top w:val="single" w:color="auto" w:sz="4" w:space="0"/>
              <w:left w:val="nil"/>
              <w:bottom w:val="single" w:color="auto" w:sz="4" w:space="0"/>
              <w:right w:val="single" w:color="auto" w:sz="4" w:space="0"/>
            </w:tcBorders>
            <w:vAlign w:val="center"/>
          </w:tcPr>
          <w:p>
            <w:pPr>
              <w:spacing w:line="360" w:lineRule="auto"/>
              <w:rPr>
                <w:rFonts w:hAnsi="宋体" w:cs="宋体"/>
                <w:sz w:val="21"/>
                <w:szCs w:val="21"/>
                <w:highlight w:val="none"/>
              </w:rPr>
            </w:pPr>
            <w:r>
              <w:rPr>
                <w:rFonts w:hint="eastAsia" w:hAnsi="宋体" w:cs="宋体"/>
                <w:sz w:val="21"/>
                <w:szCs w:val="21"/>
                <w:highlight w:val="none"/>
              </w:rPr>
              <w:t>固定资产净值：（万元）</w:t>
            </w:r>
          </w:p>
        </w:tc>
      </w:tr>
      <w:tr>
        <w:tblPrEx>
          <w:tblCellMar>
            <w:top w:w="0" w:type="dxa"/>
            <w:left w:w="108" w:type="dxa"/>
            <w:bottom w:w="0" w:type="dxa"/>
            <w:right w:w="108" w:type="dxa"/>
          </w:tblCellMar>
        </w:tblPrEx>
        <w:trPr>
          <w:cantSplit/>
          <w:trHeight w:val="805"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获得相关资质证书情况</w:t>
            </w:r>
          </w:p>
        </w:tc>
        <w:tc>
          <w:tcPr>
            <w:tcW w:w="7470" w:type="dxa"/>
            <w:gridSpan w:val="4"/>
            <w:tcBorders>
              <w:top w:val="single" w:color="auto" w:sz="4" w:space="0"/>
              <w:left w:val="nil"/>
              <w:bottom w:val="single" w:color="auto" w:sz="4" w:space="0"/>
              <w:right w:val="single" w:color="auto" w:sz="4" w:space="0"/>
            </w:tcBorders>
            <w:vAlign w:val="center"/>
          </w:tcPr>
          <w:p>
            <w:pPr>
              <w:keepNext/>
              <w:spacing w:line="360" w:lineRule="auto"/>
              <w:outlineLvl w:val="0"/>
              <w:rPr>
                <w:rFonts w:hAnsi="宋体" w:cs="宋体"/>
                <w:sz w:val="21"/>
                <w:szCs w:val="21"/>
                <w:highlight w:val="none"/>
              </w:rPr>
            </w:pPr>
          </w:p>
        </w:tc>
      </w:tr>
      <w:tr>
        <w:tblPrEx>
          <w:tblCellMar>
            <w:top w:w="0" w:type="dxa"/>
            <w:left w:w="108" w:type="dxa"/>
            <w:bottom w:w="0" w:type="dxa"/>
            <w:right w:w="108" w:type="dxa"/>
          </w:tblCellMar>
        </w:tblPrEx>
        <w:trPr>
          <w:cantSplit/>
          <w:trHeight w:val="638"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法定代表人</w:t>
            </w:r>
          </w:p>
        </w:tc>
        <w:tc>
          <w:tcPr>
            <w:tcW w:w="7470" w:type="dxa"/>
            <w:gridSpan w:val="4"/>
            <w:tcBorders>
              <w:top w:val="single" w:color="auto" w:sz="4" w:space="0"/>
              <w:left w:val="nil"/>
              <w:bottom w:val="single" w:color="auto" w:sz="4" w:space="0"/>
              <w:right w:val="single" w:color="auto" w:sz="4" w:space="0"/>
            </w:tcBorders>
            <w:vAlign w:val="center"/>
          </w:tcPr>
          <w:p>
            <w:pPr>
              <w:spacing w:line="360" w:lineRule="auto"/>
              <w:rPr>
                <w:rFonts w:hAnsi="宋体" w:cs="宋体"/>
                <w:sz w:val="21"/>
                <w:szCs w:val="21"/>
                <w:highlight w:val="none"/>
              </w:rPr>
            </w:pPr>
            <w:r>
              <w:rPr>
                <w:rFonts w:hint="eastAsia" w:hAnsi="宋体" w:cs="宋体"/>
                <w:sz w:val="21"/>
                <w:szCs w:val="21"/>
                <w:highlight w:val="none"/>
              </w:rPr>
              <w:t>姓名：职务：职称：</w:t>
            </w:r>
          </w:p>
        </w:tc>
      </w:tr>
      <w:tr>
        <w:tblPrEx>
          <w:tblCellMar>
            <w:top w:w="0" w:type="dxa"/>
            <w:left w:w="108" w:type="dxa"/>
            <w:bottom w:w="0" w:type="dxa"/>
            <w:right w:w="108" w:type="dxa"/>
          </w:tblCellMar>
        </w:tblPrEx>
        <w:trPr>
          <w:cantSplit/>
          <w:trHeight w:val="5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公司总经理</w:t>
            </w:r>
          </w:p>
        </w:tc>
        <w:tc>
          <w:tcPr>
            <w:tcW w:w="7470" w:type="dxa"/>
            <w:gridSpan w:val="4"/>
            <w:tcBorders>
              <w:top w:val="single" w:color="auto" w:sz="4" w:space="0"/>
              <w:left w:val="nil"/>
              <w:bottom w:val="single" w:color="auto" w:sz="4" w:space="0"/>
              <w:right w:val="single" w:color="auto" w:sz="4" w:space="0"/>
            </w:tcBorders>
            <w:vAlign w:val="center"/>
          </w:tcPr>
          <w:p>
            <w:pPr>
              <w:spacing w:line="360" w:lineRule="auto"/>
              <w:rPr>
                <w:rFonts w:hAnsi="宋体" w:cs="宋体"/>
                <w:sz w:val="21"/>
                <w:szCs w:val="21"/>
                <w:highlight w:val="none"/>
              </w:rPr>
            </w:pPr>
            <w:r>
              <w:rPr>
                <w:rFonts w:hint="eastAsia" w:hAnsi="宋体" w:cs="宋体"/>
                <w:sz w:val="21"/>
                <w:szCs w:val="21"/>
                <w:highlight w:val="none"/>
              </w:rPr>
              <w:t>姓名：职务：职称：</w:t>
            </w:r>
          </w:p>
        </w:tc>
      </w:tr>
      <w:tr>
        <w:tblPrEx>
          <w:tblCellMar>
            <w:top w:w="0" w:type="dxa"/>
            <w:left w:w="108" w:type="dxa"/>
            <w:bottom w:w="0" w:type="dxa"/>
            <w:right w:w="108" w:type="dxa"/>
          </w:tblCellMar>
        </w:tblPrEx>
        <w:trPr>
          <w:cantSplit/>
          <w:trHeight w:val="454"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rPr>
                <w:rFonts w:hAnsi="宋体" w:cs="宋体"/>
                <w:sz w:val="21"/>
                <w:szCs w:val="21"/>
                <w:highlight w:val="none"/>
              </w:rPr>
            </w:pPr>
            <w:r>
              <w:rPr>
                <w:rFonts w:hint="eastAsia" w:hAnsi="宋体" w:cs="宋体"/>
                <w:sz w:val="21"/>
                <w:szCs w:val="21"/>
                <w:highlight w:val="none"/>
              </w:rPr>
              <w:t>职工人数</w:t>
            </w:r>
          </w:p>
        </w:tc>
        <w:tc>
          <w:tcPr>
            <w:tcW w:w="7470" w:type="dxa"/>
            <w:gridSpan w:val="4"/>
            <w:tcBorders>
              <w:top w:val="single" w:color="auto" w:sz="4" w:space="0"/>
              <w:left w:val="nil"/>
              <w:bottom w:val="single" w:color="auto" w:sz="4" w:space="0"/>
              <w:right w:val="single" w:color="auto" w:sz="4" w:space="0"/>
            </w:tcBorders>
            <w:vAlign w:val="center"/>
          </w:tcPr>
          <w:p>
            <w:pPr>
              <w:rPr>
                <w:rFonts w:hAnsi="宋体" w:cs="宋体"/>
                <w:sz w:val="21"/>
                <w:szCs w:val="21"/>
                <w:highlight w:val="none"/>
              </w:rPr>
            </w:pPr>
          </w:p>
        </w:tc>
      </w:tr>
      <w:tr>
        <w:tblPrEx>
          <w:tblCellMar>
            <w:top w:w="0" w:type="dxa"/>
            <w:left w:w="108" w:type="dxa"/>
            <w:bottom w:w="0" w:type="dxa"/>
            <w:right w:w="108" w:type="dxa"/>
          </w:tblCellMar>
        </w:tblPrEx>
        <w:trPr>
          <w:cantSplit/>
          <w:trHeight w:val="1095"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rPr>
                <w:rFonts w:hAnsi="宋体" w:cs="宋体"/>
                <w:sz w:val="21"/>
                <w:szCs w:val="21"/>
                <w:highlight w:val="none"/>
              </w:rPr>
            </w:pPr>
            <w:r>
              <w:rPr>
                <w:rFonts w:hint="eastAsia" w:hAnsi="宋体" w:cs="宋体"/>
                <w:sz w:val="21"/>
                <w:szCs w:val="21"/>
                <w:highlight w:val="none"/>
              </w:rPr>
              <w:t>投标人在企业注册地以外设立分支机构的情况</w:t>
            </w:r>
          </w:p>
        </w:tc>
        <w:tc>
          <w:tcPr>
            <w:tcW w:w="7470" w:type="dxa"/>
            <w:gridSpan w:val="4"/>
            <w:tcBorders>
              <w:top w:val="single" w:color="auto" w:sz="4" w:space="0"/>
              <w:left w:val="nil"/>
              <w:bottom w:val="single" w:color="auto" w:sz="4" w:space="0"/>
              <w:right w:val="single" w:color="auto" w:sz="4" w:space="0"/>
            </w:tcBorders>
            <w:vAlign w:val="center"/>
          </w:tcPr>
          <w:p>
            <w:pPr>
              <w:rPr>
                <w:rFonts w:hAnsi="宋体" w:cs="宋体"/>
                <w:sz w:val="21"/>
                <w:szCs w:val="21"/>
                <w:highlight w:val="none"/>
              </w:rPr>
            </w:pPr>
          </w:p>
        </w:tc>
      </w:tr>
      <w:tr>
        <w:tblPrEx>
          <w:tblCellMar>
            <w:top w:w="0" w:type="dxa"/>
            <w:left w:w="108" w:type="dxa"/>
            <w:bottom w:w="0" w:type="dxa"/>
            <w:right w:w="108" w:type="dxa"/>
          </w:tblCellMar>
        </w:tblPrEx>
        <w:trPr>
          <w:cantSpli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联系方式</w:t>
            </w:r>
          </w:p>
        </w:tc>
        <w:tc>
          <w:tcPr>
            <w:tcW w:w="7470" w:type="dxa"/>
            <w:gridSpan w:val="4"/>
            <w:tcBorders>
              <w:top w:val="single" w:color="auto" w:sz="4" w:space="0"/>
              <w:left w:val="nil"/>
              <w:bottom w:val="single" w:color="auto" w:sz="4" w:space="0"/>
              <w:right w:val="single" w:color="auto" w:sz="4" w:space="0"/>
            </w:tcBorders>
            <w:vAlign w:val="center"/>
          </w:tcPr>
          <w:p>
            <w:pPr>
              <w:spacing w:line="360" w:lineRule="auto"/>
              <w:rPr>
                <w:rFonts w:hAnsi="宋体" w:cs="宋体"/>
                <w:sz w:val="21"/>
                <w:szCs w:val="21"/>
                <w:highlight w:val="none"/>
              </w:rPr>
            </w:pPr>
            <w:r>
              <w:rPr>
                <w:rFonts w:hint="eastAsia" w:hAnsi="宋体" w:cs="宋体"/>
                <w:sz w:val="21"/>
                <w:szCs w:val="21"/>
                <w:highlight w:val="none"/>
              </w:rPr>
              <w:t>地址：邮编：电话：</w:t>
            </w:r>
          </w:p>
          <w:p>
            <w:pPr>
              <w:spacing w:line="360" w:lineRule="auto"/>
              <w:rPr>
                <w:rFonts w:hAnsi="宋体" w:cs="宋体"/>
                <w:sz w:val="21"/>
                <w:szCs w:val="21"/>
                <w:highlight w:val="none"/>
              </w:rPr>
            </w:pPr>
            <w:r>
              <w:rPr>
                <w:rFonts w:hint="eastAsia" w:hAnsi="宋体" w:cs="宋体"/>
                <w:sz w:val="21"/>
                <w:szCs w:val="21"/>
                <w:highlight w:val="none"/>
              </w:rPr>
              <w:t>传真：</w:t>
            </w:r>
          </w:p>
        </w:tc>
      </w:tr>
      <w:tr>
        <w:tblPrEx>
          <w:tblCellMar>
            <w:top w:w="0" w:type="dxa"/>
            <w:left w:w="108" w:type="dxa"/>
            <w:bottom w:w="0" w:type="dxa"/>
            <w:right w:w="108" w:type="dxa"/>
          </w:tblCellMar>
        </w:tblPrEx>
        <w:trPr>
          <w:cantSpli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开户银行</w:t>
            </w:r>
          </w:p>
        </w:tc>
        <w:tc>
          <w:tcPr>
            <w:tcW w:w="7470" w:type="dxa"/>
            <w:gridSpan w:val="4"/>
            <w:tcBorders>
              <w:top w:val="single" w:color="auto" w:sz="4" w:space="0"/>
              <w:left w:val="nil"/>
              <w:bottom w:val="single" w:color="auto" w:sz="4" w:space="0"/>
              <w:right w:val="single" w:color="auto" w:sz="4" w:space="0"/>
            </w:tcBorders>
            <w:vAlign w:val="center"/>
          </w:tcPr>
          <w:p>
            <w:pPr>
              <w:spacing w:line="360" w:lineRule="auto"/>
              <w:rPr>
                <w:rFonts w:hAnsi="宋体" w:cs="宋体"/>
                <w:sz w:val="21"/>
                <w:szCs w:val="21"/>
                <w:highlight w:val="none"/>
              </w:rPr>
            </w:pPr>
            <w:r>
              <w:rPr>
                <w:rFonts w:hint="eastAsia" w:hAnsi="宋体" w:cs="宋体"/>
                <w:sz w:val="21"/>
                <w:szCs w:val="21"/>
                <w:highlight w:val="none"/>
              </w:rPr>
              <w:t>名称：</w:t>
            </w:r>
          </w:p>
          <w:p>
            <w:pPr>
              <w:spacing w:line="360" w:lineRule="auto"/>
              <w:rPr>
                <w:rFonts w:hAnsi="宋体" w:cs="宋体"/>
                <w:sz w:val="21"/>
                <w:szCs w:val="21"/>
                <w:highlight w:val="none"/>
              </w:rPr>
            </w:pPr>
            <w:r>
              <w:rPr>
                <w:rFonts w:hint="eastAsia" w:hAnsi="宋体" w:cs="宋体"/>
                <w:sz w:val="21"/>
                <w:szCs w:val="21"/>
                <w:highlight w:val="none"/>
                <w:lang w:eastAsia="zh-CN"/>
              </w:rPr>
              <w:t>账</w:t>
            </w:r>
            <w:r>
              <w:rPr>
                <w:rFonts w:hint="eastAsia" w:hAnsi="宋体" w:cs="宋体"/>
                <w:sz w:val="21"/>
                <w:szCs w:val="21"/>
                <w:highlight w:val="none"/>
              </w:rPr>
              <w:t>号：</w:t>
            </w:r>
          </w:p>
        </w:tc>
      </w:tr>
      <w:tr>
        <w:tblPrEx>
          <w:tblCellMar>
            <w:top w:w="0" w:type="dxa"/>
            <w:left w:w="108" w:type="dxa"/>
            <w:bottom w:w="0" w:type="dxa"/>
            <w:right w:w="108" w:type="dxa"/>
          </w:tblCellMar>
        </w:tblPrEx>
        <w:trPr>
          <w:cantSplit/>
          <w:trHeight w:val="1285"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Ansi="宋体" w:cs="宋体"/>
                <w:sz w:val="21"/>
                <w:szCs w:val="21"/>
                <w:highlight w:val="none"/>
              </w:rPr>
            </w:pPr>
            <w:r>
              <w:rPr>
                <w:rFonts w:hint="eastAsia" w:hAnsi="宋体" w:cs="宋体"/>
                <w:sz w:val="21"/>
                <w:szCs w:val="21"/>
                <w:highlight w:val="none"/>
              </w:rPr>
              <w:t>公司组织</w:t>
            </w:r>
          </w:p>
          <w:p>
            <w:pPr>
              <w:spacing w:line="360" w:lineRule="auto"/>
              <w:jc w:val="center"/>
              <w:rPr>
                <w:rFonts w:hAnsi="宋体" w:cs="宋体"/>
                <w:sz w:val="21"/>
                <w:szCs w:val="21"/>
                <w:highlight w:val="none"/>
              </w:rPr>
            </w:pPr>
            <w:r>
              <w:rPr>
                <w:rFonts w:hint="eastAsia" w:hAnsi="宋体" w:cs="宋体"/>
                <w:sz w:val="21"/>
                <w:szCs w:val="21"/>
                <w:highlight w:val="none"/>
              </w:rPr>
              <w:t>机构框图</w:t>
            </w:r>
          </w:p>
        </w:tc>
        <w:tc>
          <w:tcPr>
            <w:tcW w:w="7470" w:type="dxa"/>
            <w:gridSpan w:val="4"/>
            <w:tcBorders>
              <w:top w:val="single" w:color="auto" w:sz="4" w:space="0"/>
              <w:left w:val="nil"/>
              <w:bottom w:val="single" w:color="auto" w:sz="4" w:space="0"/>
              <w:right w:val="single" w:color="auto" w:sz="4" w:space="0"/>
            </w:tcBorders>
            <w:vAlign w:val="center"/>
          </w:tcPr>
          <w:p>
            <w:pPr>
              <w:keepNext/>
              <w:spacing w:line="360" w:lineRule="auto"/>
              <w:jc w:val="center"/>
              <w:outlineLvl w:val="0"/>
              <w:rPr>
                <w:rFonts w:hAnsi="宋体" w:cs="宋体"/>
                <w:sz w:val="21"/>
                <w:szCs w:val="21"/>
                <w:highlight w:val="none"/>
              </w:rPr>
            </w:pPr>
          </w:p>
        </w:tc>
      </w:tr>
    </w:tbl>
    <w:p>
      <w:pPr>
        <w:snapToGrid w:val="0"/>
        <w:spacing w:line="500" w:lineRule="exact"/>
        <w:rPr>
          <w:rFonts w:hAnsi="宋体" w:cs="宋体"/>
          <w:sz w:val="21"/>
          <w:szCs w:val="21"/>
          <w:highlight w:val="none"/>
        </w:rPr>
      </w:pPr>
      <w:r>
        <w:rPr>
          <w:rFonts w:hint="eastAsia" w:hAnsi="宋体" w:cs="宋体"/>
          <w:sz w:val="21"/>
          <w:szCs w:val="21"/>
          <w:highlight w:val="none"/>
        </w:rPr>
        <w:t>法定代表人或其授权代表签字：</w:t>
      </w:r>
    </w:p>
    <w:p>
      <w:pPr>
        <w:snapToGrid w:val="0"/>
        <w:spacing w:line="500" w:lineRule="exact"/>
        <w:rPr>
          <w:rFonts w:hAnsi="宋体" w:cs="宋体"/>
          <w:sz w:val="21"/>
          <w:szCs w:val="21"/>
          <w:highlight w:val="none"/>
        </w:rPr>
      </w:pPr>
      <w:r>
        <w:rPr>
          <w:rFonts w:hint="eastAsia" w:hAnsi="宋体" w:cs="宋体"/>
          <w:sz w:val="21"/>
          <w:szCs w:val="21"/>
          <w:highlight w:val="none"/>
        </w:rPr>
        <w:t xml:space="preserve">投标人全称（加盖公章）：                     </w:t>
      </w:r>
    </w:p>
    <w:p>
      <w:pPr>
        <w:pStyle w:val="27"/>
        <w:snapToGrid w:val="0"/>
        <w:spacing w:line="500" w:lineRule="exact"/>
        <w:rPr>
          <w:rFonts w:ascii="宋体" w:hAnsi="宋体" w:cs="宋体"/>
          <w:highlight w:val="none"/>
        </w:rPr>
      </w:pPr>
      <w:r>
        <w:rPr>
          <w:rFonts w:hint="eastAsia" w:ascii="宋体" w:hAnsi="宋体" w:cs="宋体"/>
          <w:sz w:val="24"/>
          <w:szCs w:val="24"/>
          <w:highlight w:val="none"/>
        </w:rPr>
        <w:t>日期：  年  月   日</w:t>
      </w:r>
    </w:p>
    <w:p>
      <w:pPr>
        <w:autoSpaceDE/>
        <w:autoSpaceDN/>
        <w:snapToGrid w:val="0"/>
        <w:spacing w:line="500" w:lineRule="exact"/>
        <w:ind w:firstLine="420" w:firstLineChars="200"/>
        <w:jc w:val="both"/>
        <w:rPr>
          <w:rFonts w:hAnsi="宋体" w:cs="宋体"/>
          <w:sz w:val="21"/>
          <w:szCs w:val="21"/>
          <w:highlight w:val="none"/>
        </w:rPr>
      </w:pPr>
    </w:p>
    <w:p>
      <w:pPr>
        <w:autoSpaceDE/>
        <w:autoSpaceDN/>
        <w:adjustRightInd/>
        <w:snapToGrid w:val="0"/>
        <w:spacing w:line="460" w:lineRule="exact"/>
        <w:rPr>
          <w:rFonts w:hAnsi="宋体" w:cs="宋体"/>
          <w:b/>
          <w:sz w:val="24"/>
          <w:szCs w:val="22"/>
          <w:highlight w:val="none"/>
        </w:rPr>
      </w:pPr>
      <w:r>
        <w:rPr>
          <w:rFonts w:hint="eastAsia" w:hAnsi="宋体" w:cs="宋体"/>
          <w:b/>
          <w:sz w:val="24"/>
          <w:szCs w:val="22"/>
          <w:highlight w:val="none"/>
        </w:rPr>
        <w:t>3.投标人相关资质证书及获得的相关荣誉证书（扫描件或复印件加盖单位公章）；</w:t>
      </w:r>
    </w:p>
    <w:p>
      <w:pPr>
        <w:snapToGrid w:val="0"/>
        <w:spacing w:before="50" w:after="50"/>
        <w:jc w:val="center"/>
        <w:rPr>
          <w:rFonts w:hAnsi="宋体" w:cs="宋体"/>
          <w:b/>
          <w:sz w:val="24"/>
          <w:highlight w:val="none"/>
        </w:rPr>
      </w:pPr>
      <w:r>
        <w:rPr>
          <w:rFonts w:hint="eastAsia" w:hAnsi="宋体" w:cs="宋体"/>
          <w:b/>
          <w:bCs/>
          <w:sz w:val="24"/>
          <w:highlight w:val="none"/>
        </w:rPr>
        <w:br w:type="page"/>
      </w:r>
      <w:r>
        <w:rPr>
          <w:rFonts w:hint="eastAsia" w:hAnsi="宋体" w:cs="宋体"/>
          <w:b/>
          <w:sz w:val="24"/>
          <w:szCs w:val="22"/>
          <w:highlight w:val="none"/>
        </w:rPr>
        <w:t>4.投标人2019年1月1日以来的同类项目业绩</w:t>
      </w:r>
    </w:p>
    <w:tbl>
      <w:tblPr>
        <w:tblStyle w:val="46"/>
        <w:tblW w:w="93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3"/>
        <w:gridCol w:w="1823"/>
        <w:gridCol w:w="2324"/>
        <w:gridCol w:w="1548"/>
        <w:gridCol w:w="1200"/>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序号</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项 目 名 称</w:t>
            </w:r>
          </w:p>
        </w:tc>
        <w:tc>
          <w:tcPr>
            <w:tcW w:w="2324"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项 目 概 况</w:t>
            </w: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起讫时间</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合同金额</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823"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2324" w:type="dxa"/>
            <w:tcBorders>
              <w:top w:val="single" w:color="auto" w:sz="4" w:space="0"/>
              <w:left w:val="single" w:color="auto" w:sz="4" w:space="0"/>
              <w:bottom w:val="single" w:color="auto" w:sz="4" w:space="0"/>
              <w:right w:val="single" w:color="auto" w:sz="4" w:space="0"/>
            </w:tcBorders>
          </w:tcPr>
          <w:p>
            <w:pPr>
              <w:widowControl/>
              <w:snapToGrid w:val="0"/>
              <w:jc w:val="center"/>
              <w:rPr>
                <w:rFonts w:hAnsi="宋体" w:cs="宋体"/>
                <w:sz w:val="24"/>
                <w:szCs w:val="24"/>
                <w:highlight w:val="none"/>
              </w:rPr>
            </w:pPr>
          </w:p>
        </w:tc>
        <w:tc>
          <w:tcPr>
            <w:tcW w:w="15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200"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c>
          <w:tcPr>
            <w:tcW w:w="1479"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Ansi="宋体" w:cs="宋体"/>
                <w:sz w:val="24"/>
                <w:szCs w:val="24"/>
                <w:highlight w:val="none"/>
              </w:rPr>
            </w:pPr>
            <w:r>
              <w:rPr>
                <w:rFonts w:hint="eastAsia" w:hAnsi="宋体" w:cs="宋体"/>
                <w:sz w:val="24"/>
                <w:szCs w:val="24"/>
                <w:highlight w:val="none"/>
              </w:rPr>
              <w:t> </w:t>
            </w:r>
          </w:p>
        </w:tc>
      </w:tr>
    </w:tbl>
    <w:p>
      <w:pPr>
        <w:pStyle w:val="5"/>
        <w:rPr>
          <w:rFonts w:ascii="宋体" w:hAnsi="宋体" w:cs="宋体"/>
          <w:color w:val="auto"/>
          <w:highlight w:val="none"/>
        </w:rPr>
      </w:pPr>
    </w:p>
    <w:p>
      <w:pPr>
        <w:spacing w:line="360" w:lineRule="auto"/>
        <w:ind w:firstLine="478" w:firstLineChars="228"/>
        <w:rPr>
          <w:rFonts w:hAnsi="宋体" w:cs="宋体"/>
          <w:sz w:val="21"/>
          <w:szCs w:val="21"/>
          <w:highlight w:val="none"/>
        </w:rPr>
      </w:pPr>
      <w:r>
        <w:rPr>
          <w:rFonts w:hint="eastAsia" w:hAnsi="宋体" w:cs="宋体"/>
          <w:sz w:val="21"/>
          <w:szCs w:val="21"/>
          <w:highlight w:val="none"/>
        </w:rPr>
        <w:t>法定代表人或其授权代表签字：</w:t>
      </w:r>
    </w:p>
    <w:p>
      <w:pPr>
        <w:autoSpaceDE/>
        <w:autoSpaceDN/>
        <w:adjustRightInd/>
        <w:spacing w:line="360" w:lineRule="auto"/>
        <w:ind w:firstLine="630" w:firstLineChars="300"/>
        <w:rPr>
          <w:rFonts w:hAnsi="宋体" w:cs="宋体"/>
          <w:sz w:val="21"/>
          <w:szCs w:val="21"/>
          <w:highlight w:val="none"/>
        </w:rPr>
      </w:pPr>
      <w:r>
        <w:rPr>
          <w:rFonts w:hint="eastAsia" w:hAnsi="宋体" w:cs="宋体"/>
          <w:sz w:val="21"/>
          <w:szCs w:val="21"/>
          <w:highlight w:val="none"/>
        </w:rPr>
        <w:t xml:space="preserve">投标人全称（加盖公章）：                     </w:t>
      </w:r>
    </w:p>
    <w:p>
      <w:pPr>
        <w:snapToGrid w:val="0"/>
        <w:spacing w:before="50" w:after="50"/>
        <w:jc w:val="center"/>
        <w:rPr>
          <w:rFonts w:hAnsi="宋体" w:cs="宋体"/>
          <w:b/>
          <w:sz w:val="24"/>
          <w:highlight w:val="none"/>
        </w:rPr>
      </w:pPr>
      <w:r>
        <w:rPr>
          <w:rFonts w:hint="eastAsia" w:hAnsi="宋体" w:cs="宋体"/>
          <w:sz w:val="24"/>
          <w:szCs w:val="24"/>
          <w:highlight w:val="none"/>
        </w:rPr>
        <w:t>日期：  年  月   日</w:t>
      </w:r>
    </w:p>
    <w:p>
      <w:pPr>
        <w:jc w:val="center"/>
        <w:rPr>
          <w:rFonts w:hAnsi="宋体" w:cs="宋体"/>
          <w:b/>
          <w:sz w:val="21"/>
          <w:szCs w:val="21"/>
          <w:highlight w:val="none"/>
        </w:rPr>
      </w:pPr>
      <w:bookmarkStart w:id="54" w:name="_Toc354841327"/>
      <w:bookmarkStart w:id="55" w:name="_Toc295737642"/>
      <w:bookmarkStart w:id="56" w:name="_Toc296074353"/>
      <w:bookmarkStart w:id="57" w:name="_Toc296075064"/>
      <w:bookmarkStart w:id="58" w:name="_Toc295910890"/>
    </w:p>
    <w:p>
      <w:pPr>
        <w:jc w:val="center"/>
        <w:rPr>
          <w:rFonts w:hAnsi="宋体" w:cs="宋体"/>
          <w:b/>
          <w:sz w:val="21"/>
          <w:szCs w:val="21"/>
          <w:highlight w:val="none"/>
        </w:rPr>
      </w:pPr>
    </w:p>
    <w:p>
      <w:pPr>
        <w:jc w:val="center"/>
        <w:rPr>
          <w:rFonts w:hAnsi="宋体" w:cs="宋体"/>
          <w:b/>
          <w:sz w:val="21"/>
          <w:szCs w:val="21"/>
          <w:highlight w:val="none"/>
        </w:rPr>
      </w:pPr>
    </w:p>
    <w:p>
      <w:pPr>
        <w:jc w:val="center"/>
        <w:rPr>
          <w:rFonts w:hAnsi="宋体" w:cs="宋体"/>
          <w:b/>
          <w:sz w:val="21"/>
          <w:szCs w:val="21"/>
          <w:highlight w:val="none"/>
        </w:rPr>
      </w:pPr>
    </w:p>
    <w:p>
      <w:pPr>
        <w:jc w:val="center"/>
        <w:rPr>
          <w:rFonts w:hAnsi="宋体" w:cs="宋体"/>
          <w:b/>
          <w:sz w:val="21"/>
          <w:szCs w:val="21"/>
          <w:highlight w:val="none"/>
        </w:rPr>
      </w:pPr>
    </w:p>
    <w:p>
      <w:pPr>
        <w:jc w:val="center"/>
        <w:rPr>
          <w:rFonts w:hAnsi="宋体" w:cs="宋体"/>
          <w:b/>
          <w:sz w:val="21"/>
          <w:szCs w:val="21"/>
          <w:highlight w:val="none"/>
        </w:rPr>
      </w:pPr>
    </w:p>
    <w:p>
      <w:pPr>
        <w:jc w:val="center"/>
        <w:rPr>
          <w:rFonts w:hAnsi="宋体" w:cs="宋体"/>
          <w:b/>
          <w:sz w:val="21"/>
          <w:szCs w:val="21"/>
          <w:highlight w:val="none"/>
        </w:rPr>
      </w:pPr>
    </w:p>
    <w:p>
      <w:pPr>
        <w:jc w:val="center"/>
        <w:rPr>
          <w:rFonts w:hAnsi="宋体" w:cs="宋体"/>
          <w:b/>
          <w:sz w:val="21"/>
          <w:szCs w:val="21"/>
          <w:highlight w:val="none"/>
        </w:rPr>
      </w:pPr>
      <w:r>
        <w:rPr>
          <w:rFonts w:hint="eastAsia" w:hAnsi="宋体" w:cs="宋体"/>
          <w:b/>
          <w:sz w:val="21"/>
          <w:szCs w:val="21"/>
          <w:highlight w:val="none"/>
        </w:rPr>
        <w:t>5.</w:t>
      </w:r>
      <w:bookmarkEnd w:id="54"/>
      <w:bookmarkEnd w:id="55"/>
      <w:bookmarkEnd w:id="56"/>
      <w:bookmarkEnd w:id="57"/>
      <w:bookmarkEnd w:id="58"/>
      <w:r>
        <w:rPr>
          <w:rFonts w:hint="eastAsia" w:hAnsi="宋体" w:cs="宋体"/>
          <w:b/>
          <w:sz w:val="21"/>
          <w:szCs w:val="21"/>
          <w:highlight w:val="none"/>
        </w:rPr>
        <w:t>拟投入本项目的服务人员配置表</w:t>
      </w:r>
    </w:p>
    <w:tbl>
      <w:tblPr>
        <w:tblStyle w:val="46"/>
        <w:tblW w:w="4998"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37"/>
        <w:gridCol w:w="1037"/>
        <w:gridCol w:w="1673"/>
        <w:gridCol w:w="645"/>
        <w:gridCol w:w="645"/>
        <w:gridCol w:w="1291"/>
        <w:gridCol w:w="1161"/>
        <w:gridCol w:w="202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6" w:hRule="atLeast"/>
        </w:trPr>
        <w:tc>
          <w:tcPr>
            <w:tcW w:w="545" w:type="pct"/>
            <w:vAlign w:val="center"/>
          </w:tcPr>
          <w:p>
            <w:pPr>
              <w:jc w:val="center"/>
              <w:rPr>
                <w:rFonts w:hAnsi="宋体" w:cs="宋体"/>
                <w:bCs/>
                <w:sz w:val="21"/>
                <w:szCs w:val="21"/>
                <w:highlight w:val="none"/>
              </w:rPr>
            </w:pPr>
            <w:r>
              <w:rPr>
                <w:rFonts w:hint="eastAsia" w:hAnsi="宋体" w:cs="宋体"/>
                <w:bCs/>
                <w:sz w:val="21"/>
                <w:szCs w:val="21"/>
                <w:highlight w:val="none"/>
              </w:rPr>
              <w:t>序号</w:t>
            </w:r>
          </w:p>
        </w:tc>
        <w:tc>
          <w:tcPr>
            <w:tcW w:w="545" w:type="pct"/>
            <w:vAlign w:val="center"/>
          </w:tcPr>
          <w:p>
            <w:pPr>
              <w:jc w:val="center"/>
              <w:rPr>
                <w:rFonts w:hAnsi="宋体" w:cs="宋体"/>
                <w:bCs/>
                <w:sz w:val="21"/>
                <w:szCs w:val="21"/>
                <w:highlight w:val="none"/>
              </w:rPr>
            </w:pPr>
            <w:r>
              <w:rPr>
                <w:rFonts w:hint="eastAsia" w:hAnsi="宋体" w:cs="宋体"/>
                <w:bCs/>
                <w:sz w:val="21"/>
                <w:szCs w:val="21"/>
                <w:highlight w:val="none"/>
              </w:rPr>
              <w:t>姓名</w:t>
            </w:r>
          </w:p>
        </w:tc>
        <w:tc>
          <w:tcPr>
            <w:tcW w:w="879" w:type="pct"/>
            <w:vAlign w:val="center"/>
          </w:tcPr>
          <w:p>
            <w:pPr>
              <w:jc w:val="center"/>
              <w:rPr>
                <w:rFonts w:hAnsi="宋体" w:cs="宋体"/>
                <w:bCs/>
                <w:sz w:val="21"/>
                <w:szCs w:val="21"/>
                <w:highlight w:val="none"/>
              </w:rPr>
            </w:pPr>
            <w:r>
              <w:rPr>
                <w:rFonts w:hint="eastAsia" w:hAnsi="宋体" w:cs="宋体"/>
                <w:bCs/>
                <w:sz w:val="21"/>
                <w:szCs w:val="21"/>
                <w:highlight w:val="none"/>
              </w:rPr>
              <w:t>本项目主要工作</w:t>
            </w:r>
          </w:p>
        </w:tc>
        <w:tc>
          <w:tcPr>
            <w:tcW w:w="339" w:type="pct"/>
            <w:vAlign w:val="center"/>
          </w:tcPr>
          <w:p>
            <w:pPr>
              <w:jc w:val="center"/>
              <w:rPr>
                <w:rFonts w:hAnsi="宋体" w:cs="宋体"/>
                <w:bCs/>
                <w:sz w:val="21"/>
                <w:szCs w:val="21"/>
                <w:highlight w:val="none"/>
              </w:rPr>
            </w:pPr>
            <w:r>
              <w:rPr>
                <w:rFonts w:hint="eastAsia" w:hAnsi="宋体" w:cs="宋体"/>
                <w:bCs/>
                <w:sz w:val="21"/>
                <w:szCs w:val="21"/>
                <w:highlight w:val="none"/>
              </w:rPr>
              <w:t>年龄</w:t>
            </w:r>
          </w:p>
        </w:tc>
        <w:tc>
          <w:tcPr>
            <w:tcW w:w="339" w:type="pct"/>
            <w:vAlign w:val="center"/>
          </w:tcPr>
          <w:p>
            <w:pPr>
              <w:jc w:val="center"/>
              <w:rPr>
                <w:rFonts w:hAnsi="宋体" w:cs="宋体"/>
                <w:bCs/>
                <w:sz w:val="21"/>
                <w:szCs w:val="21"/>
                <w:highlight w:val="none"/>
              </w:rPr>
            </w:pPr>
            <w:r>
              <w:rPr>
                <w:rFonts w:hint="eastAsia" w:hAnsi="宋体" w:cs="宋体"/>
                <w:bCs/>
                <w:sz w:val="21"/>
                <w:szCs w:val="21"/>
                <w:highlight w:val="none"/>
              </w:rPr>
              <w:t>性别</w:t>
            </w:r>
          </w:p>
        </w:tc>
        <w:tc>
          <w:tcPr>
            <w:tcW w:w="678" w:type="pct"/>
            <w:vAlign w:val="center"/>
          </w:tcPr>
          <w:p>
            <w:pPr>
              <w:jc w:val="center"/>
              <w:rPr>
                <w:rFonts w:hAnsi="宋体" w:cs="宋体"/>
                <w:bCs/>
                <w:sz w:val="21"/>
                <w:szCs w:val="21"/>
                <w:highlight w:val="none"/>
              </w:rPr>
            </w:pPr>
            <w:r>
              <w:rPr>
                <w:rFonts w:hint="eastAsia" w:hAnsi="宋体" w:cs="宋体"/>
                <w:bCs/>
                <w:sz w:val="21"/>
                <w:szCs w:val="21"/>
                <w:highlight w:val="none"/>
              </w:rPr>
              <w:t>职称/职务</w:t>
            </w:r>
          </w:p>
        </w:tc>
        <w:tc>
          <w:tcPr>
            <w:tcW w:w="610" w:type="pct"/>
            <w:vAlign w:val="center"/>
          </w:tcPr>
          <w:p>
            <w:pPr>
              <w:jc w:val="center"/>
              <w:rPr>
                <w:rFonts w:hAnsi="宋体" w:cs="宋体"/>
                <w:bCs/>
                <w:sz w:val="21"/>
                <w:szCs w:val="21"/>
                <w:highlight w:val="none"/>
              </w:rPr>
            </w:pPr>
            <w:r>
              <w:rPr>
                <w:rFonts w:hint="eastAsia" w:hAnsi="宋体" w:cs="宋体"/>
                <w:bCs/>
                <w:sz w:val="21"/>
                <w:szCs w:val="21"/>
                <w:highlight w:val="none"/>
              </w:rPr>
              <w:t>专业/年限</w:t>
            </w:r>
          </w:p>
        </w:tc>
        <w:tc>
          <w:tcPr>
            <w:tcW w:w="1061" w:type="pct"/>
            <w:vAlign w:val="center"/>
          </w:tcPr>
          <w:p>
            <w:pPr>
              <w:jc w:val="center"/>
              <w:rPr>
                <w:rFonts w:hAnsi="宋体" w:cs="宋体"/>
                <w:bCs/>
                <w:sz w:val="21"/>
                <w:szCs w:val="21"/>
                <w:highlight w:val="none"/>
              </w:rPr>
            </w:pPr>
            <w:r>
              <w:rPr>
                <w:rFonts w:hint="eastAsia" w:hAnsi="宋体" w:cs="宋体"/>
                <w:bCs/>
                <w:sz w:val="21"/>
                <w:szCs w:val="21"/>
                <w:highlight w:val="none"/>
              </w:rPr>
              <w:t>联系方式</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jc w:val="center"/>
              <w:rPr>
                <w:rFonts w:hAnsi="宋体" w:cs="宋体"/>
                <w:bCs/>
                <w:sz w:val="21"/>
                <w:szCs w:val="21"/>
                <w:highlight w:val="none"/>
              </w:rPr>
            </w:pPr>
            <w:r>
              <w:rPr>
                <w:rFonts w:hint="eastAsia" w:hAnsi="宋体" w:cs="宋体"/>
                <w:bCs/>
                <w:sz w:val="21"/>
                <w:szCs w:val="21"/>
                <w:highlight w:val="none"/>
              </w:rPr>
              <w:t>项目负责人</w:t>
            </w: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25" w:hRule="atLeast"/>
        </w:trPr>
        <w:tc>
          <w:tcPr>
            <w:tcW w:w="545" w:type="pct"/>
            <w:vAlign w:val="center"/>
          </w:tcPr>
          <w:p>
            <w:pPr>
              <w:spacing w:line="360" w:lineRule="auto"/>
              <w:rPr>
                <w:rFonts w:hAnsi="宋体" w:cs="宋体"/>
                <w:sz w:val="21"/>
                <w:szCs w:val="21"/>
                <w:highlight w:val="none"/>
              </w:rPr>
            </w:pPr>
          </w:p>
        </w:tc>
        <w:tc>
          <w:tcPr>
            <w:tcW w:w="545" w:type="pct"/>
            <w:vAlign w:val="center"/>
          </w:tcPr>
          <w:p>
            <w:pPr>
              <w:spacing w:line="360" w:lineRule="auto"/>
              <w:rPr>
                <w:rFonts w:hAnsi="宋体" w:cs="宋体"/>
                <w:sz w:val="21"/>
                <w:szCs w:val="21"/>
                <w:highlight w:val="none"/>
              </w:rPr>
            </w:pPr>
          </w:p>
        </w:tc>
        <w:tc>
          <w:tcPr>
            <w:tcW w:w="87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339" w:type="pct"/>
            <w:vAlign w:val="center"/>
          </w:tcPr>
          <w:p>
            <w:pPr>
              <w:spacing w:line="360" w:lineRule="auto"/>
              <w:rPr>
                <w:rFonts w:hAnsi="宋体" w:cs="宋体"/>
                <w:sz w:val="21"/>
                <w:szCs w:val="21"/>
                <w:highlight w:val="none"/>
              </w:rPr>
            </w:pPr>
          </w:p>
        </w:tc>
        <w:tc>
          <w:tcPr>
            <w:tcW w:w="678" w:type="pct"/>
            <w:vAlign w:val="center"/>
          </w:tcPr>
          <w:p>
            <w:pPr>
              <w:spacing w:line="360" w:lineRule="auto"/>
              <w:rPr>
                <w:rFonts w:hAnsi="宋体" w:cs="宋体"/>
                <w:sz w:val="21"/>
                <w:szCs w:val="21"/>
                <w:highlight w:val="none"/>
              </w:rPr>
            </w:pPr>
          </w:p>
        </w:tc>
        <w:tc>
          <w:tcPr>
            <w:tcW w:w="610" w:type="pct"/>
            <w:vAlign w:val="center"/>
          </w:tcPr>
          <w:p>
            <w:pPr>
              <w:spacing w:line="360" w:lineRule="auto"/>
              <w:rPr>
                <w:rFonts w:hAnsi="宋体" w:cs="宋体"/>
                <w:sz w:val="21"/>
                <w:szCs w:val="21"/>
                <w:highlight w:val="none"/>
              </w:rPr>
            </w:pPr>
          </w:p>
        </w:tc>
        <w:tc>
          <w:tcPr>
            <w:tcW w:w="1061" w:type="pct"/>
            <w:vAlign w:val="center"/>
          </w:tcPr>
          <w:p>
            <w:pPr>
              <w:spacing w:line="360" w:lineRule="auto"/>
              <w:rPr>
                <w:rFonts w:hAnsi="宋体" w:cs="宋体"/>
                <w:sz w:val="21"/>
                <w:szCs w:val="21"/>
                <w:highlight w:val="none"/>
              </w:rPr>
            </w:pPr>
          </w:p>
        </w:tc>
      </w:tr>
    </w:tbl>
    <w:p>
      <w:pPr>
        <w:rPr>
          <w:rFonts w:hAnsi="宋体" w:cs="宋体"/>
          <w:sz w:val="21"/>
          <w:szCs w:val="21"/>
          <w:highlight w:val="none"/>
        </w:rPr>
      </w:pPr>
      <w:r>
        <w:rPr>
          <w:rFonts w:hint="eastAsia" w:hAnsi="宋体" w:cs="宋体"/>
          <w:sz w:val="21"/>
          <w:szCs w:val="21"/>
          <w:highlight w:val="none"/>
        </w:rPr>
        <w:t xml:space="preserve">投标单位：（盖章）     </w:t>
      </w:r>
    </w:p>
    <w:p>
      <w:pPr>
        <w:rPr>
          <w:rFonts w:hAnsi="宋体" w:cs="宋体"/>
          <w:sz w:val="21"/>
          <w:szCs w:val="21"/>
          <w:highlight w:val="none"/>
        </w:rPr>
      </w:pPr>
      <w:r>
        <w:rPr>
          <w:rFonts w:hint="eastAsia" w:hAnsi="宋体" w:cs="宋体"/>
          <w:sz w:val="21"/>
          <w:szCs w:val="21"/>
          <w:highlight w:val="none"/>
        </w:rPr>
        <w:t>法定代表人或授权代表签字：                 日期：</w:t>
      </w:r>
    </w:p>
    <w:p>
      <w:pPr>
        <w:rPr>
          <w:rFonts w:hAnsi="宋体" w:cs="宋体"/>
          <w:sz w:val="21"/>
          <w:szCs w:val="21"/>
          <w:highlight w:val="none"/>
        </w:rPr>
      </w:pPr>
    </w:p>
    <w:p>
      <w:pPr>
        <w:rPr>
          <w:rFonts w:hAnsi="宋体" w:cs="宋体"/>
          <w:sz w:val="21"/>
          <w:szCs w:val="21"/>
          <w:highlight w:val="none"/>
        </w:rPr>
      </w:pPr>
      <w:r>
        <w:rPr>
          <w:rFonts w:hint="eastAsia" w:hAnsi="宋体" w:cs="宋体"/>
          <w:sz w:val="21"/>
          <w:szCs w:val="21"/>
          <w:highlight w:val="none"/>
        </w:rPr>
        <w:t>注  1.此表在不改变表式的情况下，可自行制作。</w:t>
      </w:r>
    </w:p>
    <w:p>
      <w:pPr>
        <w:ind w:firstLine="420" w:firstLineChars="200"/>
        <w:rPr>
          <w:rFonts w:hAnsi="宋体" w:cs="宋体"/>
          <w:sz w:val="21"/>
          <w:szCs w:val="21"/>
          <w:highlight w:val="none"/>
        </w:rPr>
      </w:pPr>
      <w:r>
        <w:rPr>
          <w:rFonts w:hint="eastAsia" w:hAnsi="宋体" w:cs="宋体"/>
          <w:sz w:val="21"/>
          <w:szCs w:val="21"/>
          <w:highlight w:val="none"/>
        </w:rPr>
        <w:t>2.提供相关专业人员的资格执业证书复印件并加盖公章。</w:t>
      </w:r>
    </w:p>
    <w:p>
      <w:pPr>
        <w:pStyle w:val="43"/>
        <w:widowControl w:val="0"/>
        <w:jc w:val="center"/>
        <w:rPr>
          <w:rFonts w:ascii="宋体" w:cs="宋体"/>
          <w:b/>
          <w:sz w:val="28"/>
          <w:szCs w:val="20"/>
          <w:highlight w:val="none"/>
        </w:rPr>
      </w:pPr>
    </w:p>
    <w:p>
      <w:pPr>
        <w:pStyle w:val="43"/>
        <w:widowControl w:val="0"/>
        <w:jc w:val="center"/>
        <w:rPr>
          <w:rFonts w:ascii="宋体" w:cs="宋体"/>
          <w:b/>
          <w:sz w:val="28"/>
          <w:szCs w:val="20"/>
          <w:highlight w:val="none"/>
        </w:rPr>
      </w:pPr>
    </w:p>
    <w:p>
      <w:pPr>
        <w:rPr>
          <w:rFonts w:hAnsi="宋体" w:cs="宋体"/>
          <w:b/>
          <w:sz w:val="21"/>
          <w:szCs w:val="21"/>
          <w:highlight w:val="none"/>
        </w:rPr>
      </w:pPr>
      <w:r>
        <w:rPr>
          <w:rFonts w:hint="eastAsia" w:hAnsi="宋体" w:cs="宋体"/>
          <w:b/>
          <w:sz w:val="21"/>
          <w:szCs w:val="21"/>
          <w:highlight w:val="none"/>
        </w:rPr>
        <w:br w:type="page"/>
      </w:r>
    </w:p>
    <w:p>
      <w:pPr>
        <w:jc w:val="center"/>
        <w:rPr>
          <w:rFonts w:hAnsi="宋体" w:cs="宋体"/>
          <w:b/>
          <w:sz w:val="21"/>
          <w:szCs w:val="21"/>
          <w:highlight w:val="none"/>
        </w:rPr>
      </w:pPr>
      <w:r>
        <w:rPr>
          <w:rFonts w:hint="eastAsia" w:hAnsi="宋体" w:cs="宋体"/>
          <w:b/>
          <w:sz w:val="21"/>
          <w:szCs w:val="21"/>
          <w:highlight w:val="none"/>
        </w:rPr>
        <w:t>6.商务技术偏离表</w:t>
      </w:r>
    </w:p>
    <w:tbl>
      <w:tblPr>
        <w:tblStyle w:val="46"/>
        <w:tblW w:w="9412"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57" w:type="dxa"/>
          <w:bottom w:w="0" w:type="dxa"/>
          <w:right w:w="57" w:type="dxa"/>
        </w:tblCellMar>
      </w:tblPr>
      <w:tblGrid>
        <w:gridCol w:w="720"/>
        <w:gridCol w:w="1175"/>
        <w:gridCol w:w="2067"/>
        <w:gridCol w:w="1237"/>
        <w:gridCol w:w="2805"/>
        <w:gridCol w:w="140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vMerge w:val="restart"/>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序号</w:t>
            </w:r>
          </w:p>
        </w:tc>
        <w:tc>
          <w:tcPr>
            <w:tcW w:w="3242" w:type="dxa"/>
            <w:gridSpan w:val="2"/>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招标文件要求</w:t>
            </w:r>
          </w:p>
        </w:tc>
        <w:tc>
          <w:tcPr>
            <w:tcW w:w="4042" w:type="dxa"/>
            <w:gridSpan w:val="2"/>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投标文件内容</w:t>
            </w:r>
          </w:p>
        </w:tc>
        <w:tc>
          <w:tcPr>
            <w:tcW w:w="1408" w:type="dxa"/>
            <w:vMerge w:val="restart"/>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vMerge w:val="continue"/>
            <w:shd w:val="clear" w:color="auto" w:fill="auto"/>
            <w:vAlign w:val="center"/>
          </w:tcPr>
          <w:p>
            <w:pPr>
              <w:keepNext/>
              <w:snapToGrid w:val="0"/>
              <w:jc w:val="center"/>
              <w:rPr>
                <w:rFonts w:hAnsi="宋体" w:cs="宋体"/>
                <w:sz w:val="21"/>
                <w:szCs w:val="21"/>
                <w:highlight w:val="none"/>
              </w:rPr>
            </w:pPr>
          </w:p>
        </w:tc>
        <w:tc>
          <w:tcPr>
            <w:tcW w:w="1175" w:type="dxa"/>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条目</w:t>
            </w:r>
          </w:p>
        </w:tc>
        <w:tc>
          <w:tcPr>
            <w:tcW w:w="2067" w:type="dxa"/>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简要内容</w:t>
            </w:r>
          </w:p>
        </w:tc>
        <w:tc>
          <w:tcPr>
            <w:tcW w:w="1237" w:type="dxa"/>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条目</w:t>
            </w:r>
          </w:p>
        </w:tc>
        <w:tc>
          <w:tcPr>
            <w:tcW w:w="2805" w:type="dxa"/>
            <w:shd w:val="clear" w:color="auto" w:fill="auto"/>
            <w:vAlign w:val="center"/>
          </w:tcPr>
          <w:p>
            <w:pPr>
              <w:keepNext/>
              <w:snapToGrid w:val="0"/>
              <w:jc w:val="center"/>
              <w:rPr>
                <w:rFonts w:hAnsi="宋体" w:cs="宋体"/>
                <w:sz w:val="21"/>
                <w:szCs w:val="21"/>
                <w:highlight w:val="none"/>
              </w:rPr>
            </w:pPr>
            <w:r>
              <w:rPr>
                <w:rFonts w:hint="eastAsia" w:hAnsi="宋体" w:cs="宋体"/>
                <w:sz w:val="21"/>
                <w:szCs w:val="21"/>
                <w:highlight w:val="none"/>
              </w:rPr>
              <w:t>实际响应的具体内容</w:t>
            </w:r>
          </w:p>
        </w:tc>
        <w:tc>
          <w:tcPr>
            <w:tcW w:w="1408" w:type="dxa"/>
            <w:vMerge w:val="continue"/>
            <w:shd w:val="clear" w:color="auto" w:fill="auto"/>
            <w:vAlign w:val="center"/>
          </w:tcPr>
          <w:p>
            <w:pPr>
              <w:keepNext/>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keepNext/>
              <w:snapToGrid w:val="0"/>
              <w:jc w:val="center"/>
              <w:rPr>
                <w:rFonts w:hAnsi="宋体" w:cs="宋体"/>
                <w:sz w:val="21"/>
                <w:szCs w:val="21"/>
                <w:highlight w:val="none"/>
              </w:rPr>
            </w:pPr>
          </w:p>
        </w:tc>
        <w:tc>
          <w:tcPr>
            <w:tcW w:w="1175" w:type="dxa"/>
            <w:shd w:val="clear" w:color="auto" w:fill="auto"/>
            <w:vAlign w:val="center"/>
          </w:tcPr>
          <w:p>
            <w:pPr>
              <w:keepNext/>
              <w:snapToGrid w:val="0"/>
              <w:jc w:val="center"/>
              <w:rPr>
                <w:rFonts w:hAnsi="宋体" w:cs="宋体"/>
                <w:sz w:val="21"/>
                <w:szCs w:val="21"/>
                <w:highlight w:val="none"/>
              </w:rPr>
            </w:pPr>
          </w:p>
        </w:tc>
        <w:tc>
          <w:tcPr>
            <w:tcW w:w="2067" w:type="dxa"/>
            <w:shd w:val="clear" w:color="auto" w:fill="auto"/>
            <w:vAlign w:val="center"/>
          </w:tcPr>
          <w:p>
            <w:pPr>
              <w:keepNext/>
              <w:snapToGrid w:val="0"/>
              <w:jc w:val="center"/>
              <w:rPr>
                <w:rFonts w:hAnsi="宋体" w:cs="宋体"/>
                <w:sz w:val="21"/>
                <w:szCs w:val="21"/>
                <w:highlight w:val="none"/>
              </w:rPr>
            </w:pPr>
          </w:p>
        </w:tc>
        <w:tc>
          <w:tcPr>
            <w:tcW w:w="1237" w:type="dxa"/>
            <w:shd w:val="clear" w:color="auto" w:fill="auto"/>
            <w:vAlign w:val="center"/>
          </w:tcPr>
          <w:p>
            <w:pPr>
              <w:keepNext/>
              <w:snapToGrid w:val="0"/>
              <w:jc w:val="center"/>
              <w:rPr>
                <w:rFonts w:hAnsi="宋体" w:cs="宋体"/>
                <w:sz w:val="21"/>
                <w:szCs w:val="21"/>
                <w:highlight w:val="none"/>
              </w:rPr>
            </w:pPr>
          </w:p>
        </w:tc>
        <w:tc>
          <w:tcPr>
            <w:tcW w:w="2805" w:type="dxa"/>
            <w:shd w:val="clear" w:color="auto" w:fill="auto"/>
            <w:vAlign w:val="center"/>
          </w:tcPr>
          <w:p>
            <w:pPr>
              <w:keepNext/>
              <w:snapToGrid w:val="0"/>
              <w:jc w:val="center"/>
              <w:rPr>
                <w:rFonts w:hAnsi="宋体" w:cs="宋体"/>
                <w:sz w:val="21"/>
                <w:szCs w:val="21"/>
                <w:highlight w:val="none"/>
              </w:rPr>
            </w:pPr>
          </w:p>
        </w:tc>
        <w:tc>
          <w:tcPr>
            <w:tcW w:w="1408" w:type="dxa"/>
            <w:shd w:val="clear" w:color="auto" w:fill="auto"/>
            <w:vAlign w:val="center"/>
          </w:tcPr>
          <w:p>
            <w:pPr>
              <w:keepNext/>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keepNext/>
              <w:snapToGrid w:val="0"/>
              <w:jc w:val="center"/>
              <w:rPr>
                <w:rFonts w:hAnsi="宋体" w:cs="宋体"/>
                <w:sz w:val="21"/>
                <w:szCs w:val="21"/>
                <w:highlight w:val="none"/>
              </w:rPr>
            </w:pPr>
          </w:p>
        </w:tc>
        <w:tc>
          <w:tcPr>
            <w:tcW w:w="1175" w:type="dxa"/>
            <w:shd w:val="clear" w:color="auto" w:fill="auto"/>
            <w:vAlign w:val="center"/>
          </w:tcPr>
          <w:p>
            <w:pPr>
              <w:keepNext/>
              <w:snapToGrid w:val="0"/>
              <w:jc w:val="center"/>
              <w:rPr>
                <w:rFonts w:hAnsi="宋体" w:cs="宋体"/>
                <w:sz w:val="21"/>
                <w:szCs w:val="21"/>
                <w:highlight w:val="none"/>
              </w:rPr>
            </w:pPr>
          </w:p>
        </w:tc>
        <w:tc>
          <w:tcPr>
            <w:tcW w:w="2067" w:type="dxa"/>
            <w:shd w:val="clear" w:color="auto" w:fill="auto"/>
            <w:vAlign w:val="center"/>
          </w:tcPr>
          <w:p>
            <w:pPr>
              <w:keepNext/>
              <w:snapToGrid w:val="0"/>
              <w:jc w:val="center"/>
              <w:rPr>
                <w:rFonts w:hAnsi="宋体" w:cs="宋体"/>
                <w:sz w:val="21"/>
                <w:szCs w:val="21"/>
                <w:highlight w:val="none"/>
              </w:rPr>
            </w:pPr>
          </w:p>
        </w:tc>
        <w:tc>
          <w:tcPr>
            <w:tcW w:w="1237" w:type="dxa"/>
            <w:shd w:val="clear" w:color="auto" w:fill="auto"/>
            <w:vAlign w:val="center"/>
          </w:tcPr>
          <w:p>
            <w:pPr>
              <w:keepNext/>
              <w:snapToGrid w:val="0"/>
              <w:jc w:val="center"/>
              <w:rPr>
                <w:rFonts w:hAnsi="宋体" w:cs="宋体"/>
                <w:sz w:val="21"/>
                <w:szCs w:val="21"/>
                <w:highlight w:val="none"/>
              </w:rPr>
            </w:pPr>
          </w:p>
        </w:tc>
        <w:tc>
          <w:tcPr>
            <w:tcW w:w="2805" w:type="dxa"/>
            <w:shd w:val="clear" w:color="auto" w:fill="auto"/>
            <w:vAlign w:val="center"/>
          </w:tcPr>
          <w:p>
            <w:pPr>
              <w:keepNext/>
              <w:snapToGrid w:val="0"/>
              <w:jc w:val="center"/>
              <w:rPr>
                <w:rFonts w:hAnsi="宋体" w:cs="宋体"/>
                <w:sz w:val="21"/>
                <w:szCs w:val="21"/>
                <w:highlight w:val="none"/>
              </w:rPr>
            </w:pPr>
          </w:p>
        </w:tc>
        <w:tc>
          <w:tcPr>
            <w:tcW w:w="1408" w:type="dxa"/>
            <w:shd w:val="clear" w:color="auto" w:fill="auto"/>
            <w:vAlign w:val="center"/>
          </w:tcPr>
          <w:p>
            <w:pPr>
              <w:keepNext/>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54" w:hRule="atLeast"/>
          <w:jc w:val="center"/>
        </w:trPr>
        <w:tc>
          <w:tcPr>
            <w:tcW w:w="720" w:type="dxa"/>
            <w:shd w:val="clear" w:color="auto" w:fill="auto"/>
            <w:vAlign w:val="center"/>
          </w:tcPr>
          <w:p>
            <w:pPr>
              <w:snapToGrid w:val="0"/>
              <w:jc w:val="center"/>
              <w:rPr>
                <w:rFonts w:hAnsi="宋体" w:cs="宋体"/>
                <w:sz w:val="21"/>
                <w:szCs w:val="21"/>
                <w:highlight w:val="none"/>
              </w:rPr>
            </w:pPr>
          </w:p>
        </w:tc>
        <w:tc>
          <w:tcPr>
            <w:tcW w:w="1175" w:type="dxa"/>
            <w:shd w:val="clear" w:color="auto" w:fill="auto"/>
            <w:vAlign w:val="center"/>
          </w:tcPr>
          <w:p>
            <w:pPr>
              <w:snapToGrid w:val="0"/>
              <w:jc w:val="center"/>
              <w:rPr>
                <w:rFonts w:hAnsi="宋体" w:cs="宋体"/>
                <w:sz w:val="21"/>
                <w:szCs w:val="21"/>
                <w:highlight w:val="none"/>
              </w:rPr>
            </w:pPr>
          </w:p>
        </w:tc>
        <w:tc>
          <w:tcPr>
            <w:tcW w:w="2067" w:type="dxa"/>
            <w:shd w:val="clear" w:color="auto" w:fill="auto"/>
            <w:vAlign w:val="center"/>
          </w:tcPr>
          <w:p>
            <w:pPr>
              <w:snapToGrid w:val="0"/>
              <w:jc w:val="center"/>
              <w:rPr>
                <w:rFonts w:hAnsi="宋体" w:cs="宋体"/>
                <w:sz w:val="21"/>
                <w:szCs w:val="21"/>
                <w:highlight w:val="none"/>
              </w:rPr>
            </w:pPr>
          </w:p>
        </w:tc>
        <w:tc>
          <w:tcPr>
            <w:tcW w:w="1237" w:type="dxa"/>
            <w:shd w:val="clear" w:color="auto" w:fill="auto"/>
            <w:vAlign w:val="center"/>
          </w:tcPr>
          <w:p>
            <w:pPr>
              <w:snapToGrid w:val="0"/>
              <w:jc w:val="center"/>
              <w:rPr>
                <w:rFonts w:hAnsi="宋体" w:cs="宋体"/>
                <w:sz w:val="21"/>
                <w:szCs w:val="21"/>
                <w:highlight w:val="none"/>
              </w:rPr>
            </w:pPr>
          </w:p>
        </w:tc>
        <w:tc>
          <w:tcPr>
            <w:tcW w:w="2805" w:type="dxa"/>
            <w:shd w:val="clear" w:color="auto" w:fill="auto"/>
            <w:vAlign w:val="center"/>
          </w:tcPr>
          <w:p>
            <w:pPr>
              <w:snapToGrid w:val="0"/>
              <w:jc w:val="center"/>
              <w:rPr>
                <w:rFonts w:hAnsi="宋体" w:cs="宋体"/>
                <w:sz w:val="21"/>
                <w:szCs w:val="21"/>
                <w:highlight w:val="none"/>
              </w:rPr>
            </w:pPr>
          </w:p>
        </w:tc>
        <w:tc>
          <w:tcPr>
            <w:tcW w:w="1408" w:type="dxa"/>
            <w:shd w:val="clear" w:color="auto" w:fill="auto"/>
            <w:vAlign w:val="center"/>
          </w:tcPr>
          <w:p>
            <w:pPr>
              <w:snapToGrid w:val="0"/>
              <w:jc w:val="center"/>
              <w:rPr>
                <w:rFonts w:hAnsi="宋体" w:cs="宋体"/>
                <w:sz w:val="21"/>
                <w:szCs w:val="21"/>
                <w:highlight w:val="none"/>
              </w:rPr>
            </w:pPr>
          </w:p>
        </w:tc>
      </w:tr>
    </w:tbl>
    <w:p>
      <w:pPr>
        <w:snapToGrid w:val="0"/>
        <w:spacing w:line="240" w:lineRule="atLeast"/>
        <w:ind w:firstLine="420" w:firstLineChars="200"/>
        <w:textAlignment w:val="center"/>
        <w:rPr>
          <w:rFonts w:hAnsi="宋体" w:cs="宋体"/>
          <w:sz w:val="21"/>
          <w:szCs w:val="21"/>
          <w:highlight w:val="none"/>
        </w:rPr>
      </w:pPr>
      <w:r>
        <w:rPr>
          <w:rFonts w:hint="eastAsia" w:hAnsi="宋体" w:cs="宋体"/>
          <w:sz w:val="21"/>
          <w:szCs w:val="21"/>
          <w:highlight w:val="none"/>
        </w:rPr>
        <w:t>注：行数不够可自行添加，有偏离请在商务技术偏离表中说明，若投标人未提供或未填写本表，均视作完全响应招标文件要求。</w:t>
      </w:r>
    </w:p>
    <w:p>
      <w:pPr>
        <w:spacing w:line="300" w:lineRule="auto"/>
        <w:rPr>
          <w:rFonts w:hAnsi="宋体" w:cs="宋体"/>
          <w:sz w:val="21"/>
          <w:szCs w:val="21"/>
          <w:highlight w:val="none"/>
        </w:rPr>
      </w:pPr>
      <w:r>
        <w:rPr>
          <w:rFonts w:hint="eastAsia" w:hAnsi="宋体" w:cs="宋体"/>
          <w:sz w:val="21"/>
          <w:szCs w:val="21"/>
          <w:highlight w:val="none"/>
        </w:rPr>
        <w:t xml:space="preserve">投标单位（盖章）：                </w:t>
      </w:r>
    </w:p>
    <w:p>
      <w:pPr>
        <w:spacing w:line="300" w:lineRule="auto"/>
        <w:rPr>
          <w:rFonts w:hAnsi="宋体" w:cs="宋体"/>
          <w:sz w:val="21"/>
          <w:szCs w:val="21"/>
          <w:highlight w:val="none"/>
        </w:rPr>
      </w:pPr>
      <w:r>
        <w:rPr>
          <w:rFonts w:hint="eastAsia" w:hAnsi="宋体" w:cs="宋体"/>
          <w:sz w:val="21"/>
          <w:szCs w:val="21"/>
          <w:highlight w:val="none"/>
        </w:rPr>
        <w:t>法定代表人或其授权代表签字：</w:t>
      </w:r>
    </w:p>
    <w:p>
      <w:pPr>
        <w:spacing w:line="300" w:lineRule="auto"/>
        <w:rPr>
          <w:rFonts w:hAnsi="宋体" w:cs="宋体"/>
          <w:highlight w:val="none"/>
        </w:rPr>
      </w:pPr>
      <w:r>
        <w:rPr>
          <w:rFonts w:hint="eastAsia" w:hAnsi="宋体" w:cs="宋体"/>
          <w:sz w:val="21"/>
          <w:szCs w:val="21"/>
          <w:highlight w:val="none"/>
        </w:rPr>
        <w:t xml:space="preserve">  年  月  日</w:t>
      </w:r>
    </w:p>
    <w:p>
      <w:pPr>
        <w:autoSpaceDE/>
        <w:autoSpaceDN/>
        <w:adjustRightInd/>
        <w:rPr>
          <w:rFonts w:hAnsi="宋体" w:cs="宋体"/>
          <w:b/>
          <w:bCs/>
          <w:sz w:val="24"/>
          <w:szCs w:val="24"/>
          <w:highlight w:val="none"/>
        </w:rPr>
      </w:pPr>
      <w:r>
        <w:rPr>
          <w:rFonts w:hint="eastAsia" w:hAnsi="宋体" w:cs="宋体"/>
          <w:b/>
          <w:bCs/>
          <w:sz w:val="24"/>
          <w:szCs w:val="24"/>
          <w:highlight w:val="none"/>
        </w:rPr>
        <w:br w:type="page"/>
      </w:r>
    </w:p>
    <w:p>
      <w:pPr>
        <w:autoSpaceDE/>
        <w:autoSpaceDN/>
        <w:snapToGrid w:val="0"/>
        <w:spacing w:line="460" w:lineRule="exact"/>
        <w:rPr>
          <w:rFonts w:hAnsi="宋体" w:cs="宋体"/>
          <w:b/>
          <w:sz w:val="21"/>
          <w:szCs w:val="21"/>
          <w:highlight w:val="none"/>
        </w:rPr>
      </w:pPr>
      <w:r>
        <w:rPr>
          <w:rFonts w:hint="eastAsia" w:hAnsi="宋体" w:cs="宋体"/>
          <w:b/>
          <w:sz w:val="21"/>
          <w:szCs w:val="21"/>
          <w:highlight w:val="none"/>
        </w:rPr>
        <w:t>7.设备（或产品）配置清单，列出详细规格型号、产品出厂标准、质量检测报告、主要技术、配置、性能、特点和质量水平的详细描述（应包括主要部件、零部件配置清单、来源、产地、规格及其参数、承诺和保证说明等）及产品样本图册或彩页(数量自定)</w:t>
      </w:r>
    </w:p>
    <w:p>
      <w:pPr>
        <w:snapToGrid w:val="0"/>
        <w:spacing w:before="50" w:after="317" w:afterLines="50"/>
        <w:jc w:val="center"/>
        <w:rPr>
          <w:rFonts w:hAnsi="宋体" w:cs="宋体"/>
          <w:b/>
          <w:bCs/>
          <w:sz w:val="21"/>
          <w:szCs w:val="21"/>
          <w:highlight w:val="none"/>
        </w:rPr>
      </w:pPr>
    </w:p>
    <w:p>
      <w:pPr>
        <w:snapToGrid w:val="0"/>
        <w:spacing w:before="50" w:after="317" w:afterLines="50"/>
        <w:jc w:val="center"/>
        <w:rPr>
          <w:rFonts w:hAnsi="宋体" w:cs="宋体"/>
          <w:sz w:val="21"/>
          <w:szCs w:val="21"/>
          <w:highlight w:val="none"/>
        </w:rPr>
      </w:pPr>
      <w:r>
        <w:rPr>
          <w:rFonts w:hint="eastAsia" w:hAnsi="宋体" w:cs="宋体"/>
          <w:b/>
          <w:bCs/>
          <w:sz w:val="21"/>
          <w:szCs w:val="21"/>
          <w:highlight w:val="none"/>
        </w:rPr>
        <w:t>设备（或产品）配置清单格式：</w:t>
      </w:r>
    </w:p>
    <w:tbl>
      <w:tblPr>
        <w:tblStyle w:val="4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54"/>
        <w:gridCol w:w="1681"/>
        <w:gridCol w:w="839"/>
        <w:gridCol w:w="1281"/>
        <w:gridCol w:w="1419"/>
        <w:gridCol w:w="352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序号</w:t>
            </w: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产品名称</w:t>
            </w: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品牌</w:t>
            </w: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规格型号</w:t>
            </w: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单位及数量</w:t>
            </w: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r>
              <w:rPr>
                <w:rFonts w:hint="eastAsia" w:hAnsi="宋体" w:cs="宋体"/>
                <w:sz w:val="21"/>
                <w:szCs w:val="21"/>
                <w:highlight w:val="none"/>
              </w:rPr>
              <w:t>性能及指标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p>
            <w:pPr>
              <w:snapToGrid w:val="0"/>
              <w:spacing w:before="50" w:after="50"/>
              <w:jc w:val="center"/>
              <w:rPr>
                <w:rFonts w:hAnsi="宋体" w:cs="宋体"/>
                <w:sz w:val="21"/>
                <w:szCs w:val="21"/>
                <w:highlight w:val="none"/>
              </w:rPr>
            </w:pP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0" w:hRule="atLeast"/>
          <w:jc w:val="center"/>
        </w:trPr>
        <w:tc>
          <w:tcPr>
            <w:tcW w:w="554"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6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839" w:type="dxa"/>
            <w:tcBorders>
              <w:top w:val="single" w:color="auto" w:sz="4" w:space="0"/>
              <w:left w:val="single" w:color="auto" w:sz="4" w:space="0"/>
              <w:bottom w:val="single" w:color="auto" w:sz="4" w:space="0"/>
              <w:right w:val="single" w:color="auto" w:sz="4" w:space="0"/>
            </w:tcBorders>
            <w:vAlign w:val="center"/>
          </w:tcPr>
          <w:p>
            <w:pPr>
              <w:snapToGrid w:val="0"/>
              <w:spacing w:before="50" w:after="50"/>
              <w:ind w:left="480" w:hanging="480"/>
              <w:jc w:val="center"/>
              <w:rPr>
                <w:rFonts w:hAnsi="宋体" w:cs="宋体"/>
                <w:sz w:val="21"/>
                <w:szCs w:val="21"/>
                <w:highlight w:val="none"/>
              </w:rPr>
            </w:pPr>
          </w:p>
        </w:tc>
        <w:tc>
          <w:tcPr>
            <w:tcW w:w="1281"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141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c>
          <w:tcPr>
            <w:tcW w:w="3529" w:type="dxa"/>
            <w:tcBorders>
              <w:top w:val="single" w:color="auto" w:sz="4" w:space="0"/>
              <w:left w:val="single" w:color="auto" w:sz="4" w:space="0"/>
              <w:bottom w:val="single" w:color="auto" w:sz="4" w:space="0"/>
              <w:right w:val="single" w:color="auto" w:sz="4" w:space="0"/>
            </w:tcBorders>
            <w:vAlign w:val="center"/>
          </w:tcPr>
          <w:p>
            <w:pPr>
              <w:snapToGrid w:val="0"/>
              <w:spacing w:before="50" w:after="50"/>
              <w:jc w:val="center"/>
              <w:rPr>
                <w:rFonts w:hAnsi="宋体" w:cs="宋体"/>
                <w:sz w:val="21"/>
                <w:szCs w:val="21"/>
                <w:highlight w:val="none"/>
              </w:rPr>
            </w:pPr>
          </w:p>
        </w:tc>
      </w:tr>
    </w:tbl>
    <w:p>
      <w:pPr>
        <w:snapToGrid w:val="0"/>
        <w:spacing w:line="360" w:lineRule="auto"/>
        <w:rPr>
          <w:rFonts w:hAnsi="宋体" w:cs="宋体"/>
          <w:sz w:val="21"/>
          <w:szCs w:val="21"/>
          <w:highlight w:val="none"/>
        </w:rPr>
      </w:pPr>
      <w:r>
        <w:rPr>
          <w:rFonts w:hint="eastAsia" w:hAnsi="宋体" w:cs="宋体"/>
          <w:sz w:val="21"/>
          <w:szCs w:val="21"/>
          <w:highlight w:val="none"/>
        </w:rPr>
        <w:t xml:space="preserve">投标单位盖章：                </w:t>
      </w:r>
    </w:p>
    <w:p>
      <w:pPr>
        <w:snapToGrid w:val="0"/>
        <w:spacing w:line="360" w:lineRule="auto"/>
        <w:rPr>
          <w:rFonts w:hAnsi="宋体" w:cs="宋体"/>
          <w:sz w:val="21"/>
          <w:szCs w:val="21"/>
          <w:highlight w:val="none"/>
        </w:rPr>
      </w:pPr>
      <w:r>
        <w:rPr>
          <w:rFonts w:hint="eastAsia" w:hAnsi="宋体" w:cs="宋体"/>
          <w:sz w:val="21"/>
          <w:szCs w:val="21"/>
          <w:highlight w:val="none"/>
        </w:rPr>
        <w:t>法定代表人或其授权代表签字</w:t>
      </w:r>
      <w:r>
        <w:rPr>
          <w:rFonts w:hint="eastAsia" w:hAnsi="宋体" w:cs="宋体"/>
          <w:sz w:val="21"/>
          <w:szCs w:val="21"/>
          <w:highlight w:val="none"/>
          <w:lang w:bidi="ar"/>
        </w:rPr>
        <w:t>（或盖章）</w:t>
      </w:r>
      <w:r>
        <w:rPr>
          <w:rFonts w:hint="eastAsia" w:hAnsi="宋体" w:cs="宋体"/>
          <w:sz w:val="21"/>
          <w:szCs w:val="21"/>
          <w:highlight w:val="none"/>
        </w:rPr>
        <w:t>：</w:t>
      </w:r>
    </w:p>
    <w:p>
      <w:pPr>
        <w:snapToGrid w:val="0"/>
        <w:spacing w:line="360" w:lineRule="auto"/>
        <w:rPr>
          <w:rFonts w:hAnsi="宋体" w:cs="宋体"/>
          <w:sz w:val="21"/>
          <w:szCs w:val="21"/>
          <w:highlight w:val="none"/>
        </w:rPr>
      </w:pPr>
      <w:r>
        <w:rPr>
          <w:rFonts w:hint="eastAsia" w:hAnsi="宋体" w:cs="宋体"/>
          <w:sz w:val="21"/>
          <w:szCs w:val="21"/>
          <w:highlight w:val="none"/>
        </w:rPr>
        <w:t>年     月      日</w:t>
      </w:r>
    </w:p>
    <w:p>
      <w:pPr>
        <w:snapToGrid w:val="0"/>
        <w:spacing w:before="50" w:after="317" w:afterLines="50"/>
        <w:rPr>
          <w:rFonts w:hAnsi="宋体" w:cs="宋体"/>
          <w:sz w:val="21"/>
          <w:szCs w:val="21"/>
          <w:highlight w:val="none"/>
        </w:rPr>
      </w:pPr>
    </w:p>
    <w:p>
      <w:pPr>
        <w:autoSpaceDE/>
        <w:autoSpaceDN/>
        <w:adjustRightInd/>
        <w:snapToGrid w:val="0"/>
        <w:spacing w:line="440" w:lineRule="exact"/>
        <w:ind w:firstLine="482" w:firstLineChars="200"/>
        <w:rPr>
          <w:rFonts w:hAnsi="宋体" w:cs="宋体"/>
          <w:b/>
          <w:bCs/>
          <w:sz w:val="24"/>
          <w:szCs w:val="24"/>
          <w:highlight w:val="none"/>
        </w:rPr>
      </w:pPr>
    </w:p>
    <w:p>
      <w:pPr>
        <w:autoSpaceDE/>
        <w:autoSpaceDN/>
        <w:adjustRightInd/>
        <w:rPr>
          <w:rFonts w:hAnsi="宋体" w:cs="宋体"/>
          <w:b/>
          <w:bCs/>
          <w:sz w:val="24"/>
          <w:szCs w:val="24"/>
          <w:highlight w:val="none"/>
        </w:rPr>
      </w:pPr>
      <w:r>
        <w:rPr>
          <w:rFonts w:hint="eastAsia" w:hAnsi="宋体" w:cs="宋体"/>
          <w:b/>
          <w:bCs/>
          <w:sz w:val="24"/>
          <w:szCs w:val="24"/>
          <w:highlight w:val="none"/>
        </w:rPr>
        <w:br w:type="page"/>
      </w:r>
    </w:p>
    <w:p>
      <w:pPr>
        <w:autoSpaceDE/>
        <w:autoSpaceDN/>
        <w:snapToGrid w:val="0"/>
        <w:spacing w:line="460" w:lineRule="exact"/>
        <w:rPr>
          <w:rFonts w:hAnsi="宋体" w:cs="宋体"/>
          <w:b/>
          <w:sz w:val="21"/>
          <w:szCs w:val="21"/>
          <w:highlight w:val="none"/>
        </w:rPr>
      </w:pPr>
      <w:r>
        <w:rPr>
          <w:rFonts w:hint="eastAsia" w:hAnsi="宋体" w:cs="宋体"/>
          <w:b/>
          <w:sz w:val="21"/>
          <w:szCs w:val="21"/>
          <w:highlight w:val="none"/>
        </w:rPr>
        <w:t>8.技术响应表</w:t>
      </w:r>
    </w:p>
    <w:p>
      <w:pPr>
        <w:snapToGrid w:val="0"/>
        <w:spacing w:before="50" w:after="317" w:afterLines="50"/>
        <w:jc w:val="center"/>
        <w:rPr>
          <w:rFonts w:hAnsi="宋体" w:cs="宋体"/>
          <w:sz w:val="21"/>
          <w:szCs w:val="21"/>
          <w:highlight w:val="none"/>
        </w:rPr>
      </w:pPr>
      <w:r>
        <w:rPr>
          <w:rFonts w:hint="eastAsia" w:hAnsi="宋体" w:cs="宋体"/>
          <w:b/>
          <w:bCs/>
          <w:sz w:val="21"/>
          <w:szCs w:val="21"/>
          <w:highlight w:val="none"/>
        </w:rPr>
        <w:t>技术响应表</w:t>
      </w:r>
    </w:p>
    <w:tbl>
      <w:tblPr>
        <w:tblStyle w:val="4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030"/>
        <w:gridCol w:w="1332"/>
        <w:gridCol w:w="2078"/>
        <w:gridCol w:w="1985"/>
        <w:gridCol w:w="821"/>
        <w:gridCol w:w="865"/>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序号</w:t>
            </w:r>
          </w:p>
        </w:tc>
        <w:tc>
          <w:tcPr>
            <w:tcW w:w="1030"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产品名称</w:t>
            </w:r>
          </w:p>
        </w:tc>
        <w:tc>
          <w:tcPr>
            <w:tcW w:w="1332"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所投产品</w:t>
            </w:r>
          </w:p>
          <w:p>
            <w:pPr>
              <w:spacing w:line="300" w:lineRule="auto"/>
              <w:jc w:val="both"/>
              <w:rPr>
                <w:rFonts w:hAnsi="宋体" w:cs="宋体"/>
                <w:sz w:val="21"/>
                <w:szCs w:val="21"/>
                <w:highlight w:val="none"/>
              </w:rPr>
            </w:pPr>
            <w:r>
              <w:rPr>
                <w:rFonts w:hint="eastAsia" w:hAnsi="宋体" w:cs="宋体"/>
                <w:sz w:val="21"/>
                <w:szCs w:val="21"/>
                <w:highlight w:val="none"/>
              </w:rPr>
              <w:t>品牌型号</w:t>
            </w:r>
          </w:p>
        </w:tc>
        <w:tc>
          <w:tcPr>
            <w:tcW w:w="2078"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招标文件要求的</w:t>
            </w:r>
          </w:p>
          <w:p>
            <w:pPr>
              <w:spacing w:line="300" w:lineRule="auto"/>
              <w:jc w:val="both"/>
              <w:rPr>
                <w:rFonts w:hAnsi="宋体" w:cs="宋体"/>
                <w:sz w:val="21"/>
                <w:szCs w:val="21"/>
                <w:highlight w:val="none"/>
              </w:rPr>
            </w:pPr>
            <w:r>
              <w:rPr>
                <w:rFonts w:hint="eastAsia" w:hAnsi="宋体" w:cs="宋体"/>
                <w:sz w:val="21"/>
                <w:szCs w:val="21"/>
                <w:highlight w:val="none"/>
              </w:rPr>
              <w:t>技术参数</w:t>
            </w:r>
          </w:p>
        </w:tc>
        <w:tc>
          <w:tcPr>
            <w:tcW w:w="1985"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所投产品的主要</w:t>
            </w:r>
          </w:p>
          <w:p>
            <w:pPr>
              <w:spacing w:line="300" w:lineRule="auto"/>
              <w:jc w:val="both"/>
              <w:rPr>
                <w:rFonts w:hAnsi="宋体" w:cs="宋体"/>
                <w:sz w:val="21"/>
                <w:szCs w:val="21"/>
                <w:highlight w:val="none"/>
              </w:rPr>
            </w:pPr>
            <w:r>
              <w:rPr>
                <w:rFonts w:hint="eastAsia" w:hAnsi="宋体" w:cs="宋体"/>
                <w:sz w:val="21"/>
                <w:szCs w:val="21"/>
                <w:highlight w:val="none"/>
              </w:rPr>
              <w:t>性能及技术参数</w:t>
            </w:r>
          </w:p>
        </w:tc>
        <w:tc>
          <w:tcPr>
            <w:tcW w:w="821"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数量</w:t>
            </w:r>
          </w:p>
        </w:tc>
        <w:tc>
          <w:tcPr>
            <w:tcW w:w="865"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是否响应</w:t>
            </w:r>
          </w:p>
        </w:tc>
        <w:tc>
          <w:tcPr>
            <w:tcW w:w="865" w:type="dxa"/>
            <w:vAlign w:val="center"/>
          </w:tcPr>
          <w:p>
            <w:pPr>
              <w:spacing w:line="300" w:lineRule="auto"/>
              <w:jc w:val="both"/>
              <w:rPr>
                <w:rFonts w:hAnsi="宋体" w:cs="宋体"/>
                <w:sz w:val="21"/>
                <w:szCs w:val="21"/>
                <w:highlight w:val="none"/>
              </w:rPr>
            </w:pPr>
            <w:r>
              <w:rPr>
                <w:rFonts w:hint="eastAsia" w:hAnsi="宋体" w:cs="宋体"/>
                <w:sz w:val="21"/>
                <w:szCs w:val="21"/>
                <w:highlight w:val="none"/>
              </w:rPr>
              <w:t>证明材料的对应页码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32" w:type="dxa"/>
          </w:tcPr>
          <w:p>
            <w:pPr>
              <w:spacing w:line="300" w:lineRule="auto"/>
              <w:jc w:val="center"/>
              <w:rPr>
                <w:rFonts w:hAnsi="宋体" w:cs="宋体"/>
                <w:sz w:val="21"/>
                <w:szCs w:val="21"/>
                <w:highlight w:val="none"/>
              </w:rPr>
            </w:pPr>
          </w:p>
        </w:tc>
        <w:tc>
          <w:tcPr>
            <w:tcW w:w="1030" w:type="dxa"/>
          </w:tcPr>
          <w:p>
            <w:pPr>
              <w:spacing w:line="300" w:lineRule="auto"/>
              <w:jc w:val="center"/>
              <w:rPr>
                <w:rFonts w:hAnsi="宋体" w:cs="宋体"/>
                <w:sz w:val="21"/>
                <w:szCs w:val="21"/>
                <w:highlight w:val="none"/>
              </w:rPr>
            </w:pPr>
          </w:p>
        </w:tc>
        <w:tc>
          <w:tcPr>
            <w:tcW w:w="1332" w:type="dxa"/>
          </w:tcPr>
          <w:p>
            <w:pPr>
              <w:spacing w:line="300" w:lineRule="auto"/>
              <w:jc w:val="center"/>
              <w:rPr>
                <w:rFonts w:hAnsi="宋体" w:cs="宋体"/>
                <w:sz w:val="21"/>
                <w:szCs w:val="21"/>
                <w:highlight w:val="none"/>
              </w:rPr>
            </w:pPr>
          </w:p>
        </w:tc>
        <w:tc>
          <w:tcPr>
            <w:tcW w:w="2078" w:type="dxa"/>
          </w:tcPr>
          <w:p>
            <w:pPr>
              <w:spacing w:line="300" w:lineRule="auto"/>
              <w:jc w:val="center"/>
              <w:rPr>
                <w:rFonts w:hAnsi="宋体" w:cs="宋体"/>
                <w:sz w:val="21"/>
                <w:szCs w:val="21"/>
                <w:highlight w:val="none"/>
              </w:rPr>
            </w:pPr>
          </w:p>
        </w:tc>
        <w:tc>
          <w:tcPr>
            <w:tcW w:w="1985" w:type="dxa"/>
          </w:tcPr>
          <w:p>
            <w:pPr>
              <w:spacing w:line="300" w:lineRule="auto"/>
              <w:jc w:val="center"/>
              <w:rPr>
                <w:rFonts w:hAnsi="宋体" w:cs="宋体"/>
                <w:sz w:val="21"/>
                <w:szCs w:val="21"/>
                <w:highlight w:val="none"/>
              </w:rPr>
            </w:pPr>
          </w:p>
        </w:tc>
        <w:tc>
          <w:tcPr>
            <w:tcW w:w="821"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c>
          <w:tcPr>
            <w:tcW w:w="865" w:type="dxa"/>
          </w:tcPr>
          <w:p>
            <w:pPr>
              <w:spacing w:line="300" w:lineRule="auto"/>
              <w:jc w:val="center"/>
              <w:rPr>
                <w:rFonts w:hAnsi="宋体" w:cs="宋体"/>
                <w:sz w:val="21"/>
                <w:szCs w:val="21"/>
                <w:highlight w:val="none"/>
              </w:rPr>
            </w:pPr>
          </w:p>
        </w:tc>
      </w:tr>
    </w:tbl>
    <w:p>
      <w:pPr>
        <w:spacing w:line="300" w:lineRule="auto"/>
        <w:rPr>
          <w:rFonts w:hAnsi="宋体" w:cs="宋体"/>
          <w:sz w:val="21"/>
          <w:szCs w:val="21"/>
          <w:highlight w:val="none"/>
        </w:rPr>
      </w:pPr>
      <w:r>
        <w:rPr>
          <w:rFonts w:hint="eastAsia" w:hAnsi="宋体" w:cs="宋体"/>
          <w:sz w:val="21"/>
          <w:szCs w:val="21"/>
          <w:highlight w:val="none"/>
        </w:rPr>
        <w:t>注：行数不够可自行添加，有偏离请在技术偏离表中详细说明。</w:t>
      </w:r>
    </w:p>
    <w:p>
      <w:pPr>
        <w:spacing w:line="300" w:lineRule="auto"/>
        <w:rPr>
          <w:rFonts w:hAnsi="宋体" w:cs="宋体"/>
          <w:sz w:val="21"/>
          <w:szCs w:val="21"/>
          <w:highlight w:val="none"/>
        </w:rPr>
      </w:pPr>
      <w:r>
        <w:rPr>
          <w:rFonts w:hint="eastAsia" w:hAnsi="宋体" w:cs="宋体"/>
          <w:sz w:val="21"/>
          <w:szCs w:val="21"/>
          <w:highlight w:val="none"/>
        </w:rPr>
        <w:t xml:space="preserve">投标单位（盖章）：                </w:t>
      </w:r>
    </w:p>
    <w:p>
      <w:pPr>
        <w:spacing w:line="300" w:lineRule="auto"/>
        <w:rPr>
          <w:rFonts w:hAnsi="宋体" w:cs="宋体"/>
          <w:sz w:val="21"/>
          <w:szCs w:val="21"/>
          <w:highlight w:val="none"/>
        </w:rPr>
      </w:pPr>
      <w:r>
        <w:rPr>
          <w:rFonts w:hint="eastAsia" w:hAnsi="宋体" w:cs="宋体"/>
          <w:sz w:val="21"/>
          <w:szCs w:val="21"/>
          <w:highlight w:val="none"/>
        </w:rPr>
        <w:t>法定代表人或其授权代表签字</w:t>
      </w:r>
      <w:r>
        <w:rPr>
          <w:rFonts w:hint="eastAsia" w:hAnsi="宋体" w:cs="宋体"/>
          <w:sz w:val="21"/>
          <w:szCs w:val="21"/>
          <w:highlight w:val="none"/>
          <w:lang w:bidi="ar"/>
        </w:rPr>
        <w:t>（或盖章）</w:t>
      </w:r>
      <w:r>
        <w:rPr>
          <w:rFonts w:hint="eastAsia" w:hAnsi="宋体" w:cs="宋体"/>
          <w:sz w:val="21"/>
          <w:szCs w:val="21"/>
          <w:highlight w:val="none"/>
        </w:rPr>
        <w:t>：</w:t>
      </w:r>
    </w:p>
    <w:p>
      <w:pPr>
        <w:spacing w:line="300" w:lineRule="auto"/>
        <w:ind w:firstLine="5880" w:firstLineChars="2800"/>
        <w:rPr>
          <w:rFonts w:hAnsi="宋体" w:cs="宋体"/>
          <w:sz w:val="21"/>
          <w:szCs w:val="21"/>
          <w:highlight w:val="none"/>
        </w:rPr>
      </w:pPr>
      <w:r>
        <w:rPr>
          <w:rFonts w:hint="eastAsia" w:hAnsi="宋体" w:cs="宋体"/>
          <w:sz w:val="21"/>
          <w:szCs w:val="21"/>
          <w:highlight w:val="none"/>
        </w:rPr>
        <w:t>年     月      日</w:t>
      </w:r>
    </w:p>
    <w:p>
      <w:pPr>
        <w:autoSpaceDE/>
        <w:autoSpaceDN/>
        <w:snapToGrid w:val="0"/>
        <w:spacing w:line="440" w:lineRule="exact"/>
        <w:ind w:firstLine="482" w:firstLineChars="200"/>
        <w:rPr>
          <w:rFonts w:hAnsi="宋体" w:cs="宋体"/>
          <w:b/>
          <w:bCs/>
          <w:sz w:val="24"/>
          <w:szCs w:val="24"/>
          <w:highlight w:val="none"/>
        </w:rPr>
      </w:pPr>
    </w:p>
    <w:p>
      <w:pPr>
        <w:autoSpaceDE/>
        <w:autoSpaceDN/>
        <w:snapToGrid w:val="0"/>
        <w:spacing w:line="440" w:lineRule="exact"/>
        <w:ind w:firstLine="482" w:firstLineChars="200"/>
        <w:rPr>
          <w:rFonts w:hAnsi="宋体" w:cs="宋体"/>
          <w:b/>
          <w:bCs/>
          <w:sz w:val="24"/>
          <w:szCs w:val="24"/>
          <w:highlight w:val="none"/>
        </w:rPr>
      </w:pPr>
      <w:r>
        <w:rPr>
          <w:rFonts w:hint="eastAsia" w:hAnsi="宋体" w:cs="宋体"/>
          <w:b/>
          <w:bCs/>
          <w:sz w:val="24"/>
          <w:szCs w:val="24"/>
          <w:highlight w:val="none"/>
        </w:rPr>
        <w:t>9.针对本项目的服务方案（格式自拟）；</w:t>
      </w:r>
    </w:p>
    <w:p>
      <w:pPr>
        <w:snapToGrid w:val="0"/>
        <w:spacing w:line="440" w:lineRule="exact"/>
        <w:ind w:firstLine="482" w:firstLineChars="200"/>
        <w:rPr>
          <w:rFonts w:hAnsi="宋体" w:cs="宋体"/>
          <w:b/>
          <w:bCs/>
          <w:sz w:val="24"/>
          <w:szCs w:val="24"/>
          <w:highlight w:val="none"/>
        </w:rPr>
      </w:pPr>
    </w:p>
    <w:p>
      <w:pPr>
        <w:snapToGrid w:val="0"/>
        <w:spacing w:line="440" w:lineRule="exact"/>
        <w:ind w:firstLine="482" w:firstLineChars="200"/>
        <w:rPr>
          <w:rFonts w:hAnsi="宋体" w:cs="宋体"/>
          <w:b/>
          <w:bCs/>
          <w:sz w:val="24"/>
          <w:szCs w:val="24"/>
          <w:highlight w:val="none"/>
        </w:rPr>
      </w:pPr>
      <w:r>
        <w:rPr>
          <w:rFonts w:hint="eastAsia" w:hAnsi="宋体" w:cs="宋体"/>
          <w:b/>
          <w:bCs/>
          <w:sz w:val="24"/>
          <w:szCs w:val="24"/>
          <w:highlight w:val="none"/>
        </w:rPr>
        <w:t>10.投标人需要说明的其他文件和说明（格式略）。</w:t>
      </w:r>
    </w:p>
    <w:p>
      <w:pPr>
        <w:snapToGrid w:val="0"/>
        <w:spacing w:before="50" w:after="317" w:afterLines="50"/>
        <w:rPr>
          <w:rFonts w:hAnsi="宋体" w:cs="宋体"/>
          <w:sz w:val="24"/>
          <w:highlight w:val="none"/>
        </w:rPr>
      </w:pPr>
    </w:p>
    <w:p>
      <w:pPr>
        <w:spacing w:line="300" w:lineRule="auto"/>
        <w:rPr>
          <w:rFonts w:hAnsi="宋体" w:cs="宋体"/>
          <w:b/>
          <w:bCs/>
          <w:sz w:val="24"/>
          <w:highlight w:val="none"/>
        </w:rPr>
      </w:pPr>
      <w:r>
        <w:rPr>
          <w:rFonts w:hint="eastAsia" w:hAnsi="宋体" w:cs="宋体"/>
          <w:b/>
          <w:bCs/>
          <w:sz w:val="24"/>
          <w:highlight w:val="none"/>
        </w:rPr>
        <w:t>（三）报价文件部分</w:t>
      </w:r>
    </w:p>
    <w:p>
      <w:pPr>
        <w:snapToGrid w:val="0"/>
        <w:spacing w:before="317" w:beforeLines="50" w:after="50"/>
        <w:rPr>
          <w:rFonts w:hAnsi="宋体" w:cs="宋体"/>
          <w:sz w:val="24"/>
          <w:highlight w:val="none"/>
        </w:rPr>
      </w:pPr>
      <w:r>
        <w:rPr>
          <w:rFonts w:hint="eastAsia" w:hAnsi="宋体" w:cs="宋体"/>
          <w:sz w:val="24"/>
          <w:highlight w:val="none"/>
        </w:rPr>
        <w:t>1.投标函格式：</w:t>
      </w:r>
    </w:p>
    <w:p>
      <w:pPr>
        <w:snapToGrid w:val="0"/>
        <w:spacing w:before="317" w:beforeLines="50" w:after="50"/>
        <w:jc w:val="center"/>
        <w:rPr>
          <w:rFonts w:hAnsi="宋体" w:cs="宋体"/>
          <w:b/>
          <w:sz w:val="24"/>
          <w:highlight w:val="none"/>
        </w:rPr>
      </w:pPr>
      <w:r>
        <w:rPr>
          <w:rFonts w:hint="eastAsia" w:hAnsi="宋体" w:cs="宋体"/>
          <w:b/>
          <w:sz w:val="24"/>
          <w:highlight w:val="none"/>
        </w:rPr>
        <w:t>投标函</w:t>
      </w:r>
    </w:p>
    <w:p>
      <w:pPr>
        <w:snapToGrid w:val="0"/>
        <w:spacing w:line="360" w:lineRule="auto"/>
        <w:rPr>
          <w:rFonts w:hAnsi="宋体" w:cs="宋体"/>
          <w:sz w:val="24"/>
          <w:highlight w:val="none"/>
        </w:rPr>
      </w:pPr>
      <w:r>
        <w:rPr>
          <w:rFonts w:hint="eastAsia" w:hAnsi="宋体" w:cs="宋体"/>
          <w:sz w:val="24"/>
          <w:highlight w:val="none"/>
        </w:rPr>
        <w:t>致：_________（招标采购单位名称）：</w:t>
      </w:r>
    </w:p>
    <w:p>
      <w:pPr>
        <w:snapToGrid w:val="0"/>
        <w:spacing w:line="360" w:lineRule="auto"/>
        <w:ind w:firstLine="480"/>
        <w:rPr>
          <w:rFonts w:hAnsi="宋体" w:cs="宋体"/>
          <w:sz w:val="24"/>
          <w:highlight w:val="none"/>
        </w:rPr>
      </w:pPr>
      <w:r>
        <w:rPr>
          <w:rFonts w:hint="eastAsia" w:hAnsi="宋体" w:cs="宋体"/>
          <w:sz w:val="24"/>
          <w:highlight w:val="none"/>
        </w:rPr>
        <w:t>根据贵方为项目的招标公告/投标邀请书</w:t>
      </w:r>
    </w:p>
    <w:p>
      <w:pPr>
        <w:snapToGrid w:val="0"/>
        <w:spacing w:line="360" w:lineRule="auto"/>
        <w:rPr>
          <w:rFonts w:hAnsi="宋体" w:cs="宋体"/>
          <w:sz w:val="24"/>
          <w:highlight w:val="none"/>
        </w:rPr>
      </w:pPr>
      <w:r>
        <w:rPr>
          <w:rFonts w:hint="eastAsia" w:hAnsi="宋体" w:cs="宋体"/>
          <w:sz w:val="24"/>
          <w:highlight w:val="none"/>
        </w:rPr>
        <w:t>（项目编号：_______），签字</w:t>
      </w:r>
      <w:r>
        <w:rPr>
          <w:rFonts w:hint="eastAsia" w:hAnsi="宋体" w:cs="宋体"/>
          <w:sz w:val="24"/>
          <w:szCs w:val="22"/>
          <w:highlight w:val="none"/>
        </w:rPr>
        <w:t>代表_______（全名）经正式授权并代表投标人_________提交</w:t>
      </w:r>
      <w:r>
        <w:rPr>
          <w:rFonts w:hint="eastAsia" w:hAnsi="宋体" w:cs="宋体"/>
          <w:sz w:val="24"/>
          <w:highlight w:val="none"/>
        </w:rPr>
        <w:t>文件。</w:t>
      </w:r>
    </w:p>
    <w:p>
      <w:pPr>
        <w:snapToGrid w:val="0"/>
        <w:spacing w:line="360" w:lineRule="auto"/>
        <w:ind w:firstLine="480" w:firstLineChars="200"/>
        <w:rPr>
          <w:rFonts w:hAnsi="宋体" w:cs="宋体"/>
          <w:sz w:val="24"/>
          <w:highlight w:val="none"/>
        </w:rPr>
      </w:pPr>
      <w:r>
        <w:rPr>
          <w:rFonts w:hint="eastAsia" w:hAnsi="宋体" w:cs="宋体"/>
          <w:sz w:val="24"/>
          <w:highlight w:val="none"/>
        </w:rPr>
        <w:t>据此函，签字代表宣布同意如下：</w:t>
      </w:r>
    </w:p>
    <w:p>
      <w:pPr>
        <w:snapToGrid w:val="0"/>
        <w:spacing w:line="360" w:lineRule="auto"/>
        <w:ind w:firstLine="480" w:firstLineChars="200"/>
        <w:rPr>
          <w:rFonts w:hAnsi="宋体" w:cs="宋体"/>
          <w:sz w:val="24"/>
          <w:highlight w:val="none"/>
        </w:rPr>
      </w:pPr>
      <w:r>
        <w:rPr>
          <w:rFonts w:hint="eastAsia" w:hAnsi="宋体" w:cs="宋体"/>
          <w:sz w:val="24"/>
          <w:highlight w:val="none"/>
        </w:rPr>
        <w:t>1.我方自愿按照招标文件规定的各项要求向采购人提供所专业服务。</w:t>
      </w:r>
    </w:p>
    <w:p>
      <w:pPr>
        <w:snapToGrid w:val="0"/>
        <w:spacing w:line="360" w:lineRule="auto"/>
        <w:ind w:firstLine="480" w:firstLineChars="200"/>
        <w:rPr>
          <w:rFonts w:hAnsi="宋体" w:cs="宋体"/>
          <w:sz w:val="24"/>
          <w:highlight w:val="none"/>
        </w:rPr>
      </w:pPr>
      <w:r>
        <w:rPr>
          <w:rFonts w:hint="eastAsia" w:hAnsi="宋体" w:cs="宋体"/>
          <w:sz w:val="24"/>
          <w:highlight w:val="none"/>
        </w:rPr>
        <w:t>2.我方已详细审查全部“招标文件”，包括修改文件（如有的话）以及全部参考资料和有关附件，已经了解我方对于招标文件、采购过程、采购结果有依法进行询问、质疑、投诉的权利及相关渠道和要求。</w:t>
      </w:r>
    </w:p>
    <w:p>
      <w:pPr>
        <w:snapToGrid w:val="0"/>
        <w:spacing w:line="360" w:lineRule="auto"/>
        <w:ind w:firstLine="480" w:firstLineChars="200"/>
        <w:rPr>
          <w:rFonts w:hAnsi="宋体" w:cs="宋体"/>
          <w:sz w:val="24"/>
          <w:highlight w:val="none"/>
        </w:rPr>
      </w:pPr>
      <w:r>
        <w:rPr>
          <w:rFonts w:hint="eastAsia" w:hAnsi="宋体" w:cs="宋体"/>
          <w:sz w:val="24"/>
          <w:highlight w:val="none"/>
        </w:rPr>
        <w:t>3.我方在投标之前已经与贵方进行了充分的沟通，完全理解并接受招标文件的各项规定和要求，对招标文件的合理性、合法性不再有异议。</w:t>
      </w:r>
    </w:p>
    <w:p>
      <w:pPr>
        <w:snapToGrid w:val="0"/>
        <w:spacing w:line="360" w:lineRule="auto"/>
        <w:ind w:firstLine="480" w:firstLineChars="200"/>
        <w:rPr>
          <w:rFonts w:hAnsi="宋体" w:cs="宋体"/>
          <w:sz w:val="24"/>
          <w:highlight w:val="none"/>
        </w:rPr>
      </w:pPr>
      <w:r>
        <w:rPr>
          <w:rFonts w:hint="eastAsia" w:hAnsi="宋体" w:cs="宋体"/>
          <w:sz w:val="24"/>
          <w:highlight w:val="none"/>
        </w:rPr>
        <w:t>4.本投标有效期自开标截止日起__90___天。</w:t>
      </w:r>
    </w:p>
    <w:p>
      <w:pPr>
        <w:snapToGrid w:val="0"/>
        <w:spacing w:line="360" w:lineRule="auto"/>
        <w:ind w:firstLine="480" w:firstLineChars="200"/>
        <w:rPr>
          <w:rFonts w:hAnsi="宋体" w:cs="宋体"/>
          <w:sz w:val="24"/>
          <w:highlight w:val="none"/>
        </w:rPr>
      </w:pPr>
      <w:r>
        <w:rPr>
          <w:rFonts w:hint="eastAsia" w:hAnsi="宋体" w:cs="宋体"/>
          <w:sz w:val="24"/>
          <w:highlight w:val="none"/>
        </w:rPr>
        <w:t>5.如中标，本投标文件至本项目合同履行完毕止均保持有效，本投标人将按“招标文件”及政府采购法律、法规的规定履行合同责任和义务。</w:t>
      </w:r>
    </w:p>
    <w:p>
      <w:pPr>
        <w:snapToGrid w:val="0"/>
        <w:spacing w:line="360" w:lineRule="auto"/>
        <w:ind w:firstLine="480" w:firstLineChars="200"/>
        <w:rPr>
          <w:rFonts w:hAnsi="宋体" w:cs="宋体"/>
          <w:sz w:val="24"/>
          <w:highlight w:val="none"/>
        </w:rPr>
      </w:pPr>
      <w:r>
        <w:rPr>
          <w:rFonts w:hint="eastAsia" w:hAnsi="宋体" w:cs="宋体"/>
          <w:sz w:val="24"/>
          <w:highlight w:val="none"/>
        </w:rPr>
        <w:t>6.投标人同意按照贵方要求提供与投标有关的一切数据或资料。</w:t>
      </w:r>
    </w:p>
    <w:p>
      <w:pPr>
        <w:snapToGrid w:val="0"/>
        <w:spacing w:line="360" w:lineRule="auto"/>
        <w:ind w:firstLine="480" w:firstLineChars="200"/>
        <w:rPr>
          <w:rFonts w:hAnsi="宋体" w:cs="宋体"/>
          <w:sz w:val="24"/>
          <w:highlight w:val="none"/>
        </w:rPr>
      </w:pPr>
      <w:r>
        <w:rPr>
          <w:rFonts w:hint="eastAsia" w:hAnsi="宋体" w:cs="宋体"/>
          <w:sz w:val="24"/>
          <w:highlight w:val="none"/>
        </w:rPr>
        <w:t>7.与本投标有关的一切正式往来信函请寄：</w:t>
      </w:r>
    </w:p>
    <w:p>
      <w:pPr>
        <w:snapToGrid w:val="0"/>
        <w:spacing w:line="360" w:lineRule="auto"/>
        <w:rPr>
          <w:rFonts w:hAnsi="宋体" w:cs="宋体"/>
          <w:sz w:val="24"/>
          <w:highlight w:val="none"/>
        </w:rPr>
      </w:pPr>
      <w:r>
        <w:rPr>
          <w:rFonts w:hint="eastAsia" w:hAnsi="宋体" w:cs="宋体"/>
          <w:sz w:val="24"/>
          <w:highlight w:val="none"/>
        </w:rPr>
        <w:t>地址：_______________邮编：__________电话：______________</w:t>
      </w:r>
    </w:p>
    <w:p>
      <w:pPr>
        <w:snapToGrid w:val="0"/>
        <w:spacing w:line="360" w:lineRule="auto"/>
        <w:rPr>
          <w:rFonts w:hAnsi="宋体" w:cs="宋体"/>
          <w:sz w:val="24"/>
          <w:highlight w:val="none"/>
        </w:rPr>
      </w:pPr>
      <w:r>
        <w:rPr>
          <w:rFonts w:hint="eastAsia" w:hAnsi="宋体" w:cs="宋体"/>
          <w:sz w:val="24"/>
          <w:highlight w:val="none"/>
        </w:rPr>
        <w:t>传真：______________投标人代表姓名___________职务：_____________</w:t>
      </w:r>
    </w:p>
    <w:p>
      <w:pPr>
        <w:snapToGrid w:val="0"/>
        <w:spacing w:line="360" w:lineRule="auto"/>
        <w:rPr>
          <w:rFonts w:hAnsi="宋体" w:cs="宋体"/>
          <w:sz w:val="24"/>
          <w:highlight w:val="none"/>
        </w:rPr>
      </w:pPr>
      <w:r>
        <w:rPr>
          <w:rFonts w:hint="eastAsia" w:hAnsi="宋体" w:cs="宋体"/>
          <w:sz w:val="24"/>
          <w:highlight w:val="none"/>
        </w:rPr>
        <w:t>投标人名称(公章):___________________</w:t>
      </w:r>
    </w:p>
    <w:p>
      <w:pPr>
        <w:snapToGrid w:val="0"/>
        <w:spacing w:line="360" w:lineRule="auto"/>
        <w:rPr>
          <w:rFonts w:hAnsi="宋体" w:cs="宋体"/>
          <w:sz w:val="24"/>
          <w:highlight w:val="none"/>
        </w:rPr>
      </w:pPr>
      <w:r>
        <w:rPr>
          <w:rFonts w:hint="eastAsia" w:hAnsi="宋体" w:cs="宋体"/>
          <w:sz w:val="24"/>
          <w:highlight w:val="none"/>
        </w:rPr>
        <w:t>开户银行：___________________银行</w:t>
      </w:r>
      <w:r>
        <w:rPr>
          <w:rFonts w:hint="eastAsia" w:hAnsi="宋体" w:cs="宋体"/>
          <w:sz w:val="24"/>
          <w:highlight w:val="none"/>
          <w:lang w:eastAsia="zh-CN"/>
        </w:rPr>
        <w:t>账</w:t>
      </w:r>
      <w:r>
        <w:rPr>
          <w:rFonts w:hint="eastAsia" w:hAnsi="宋体" w:cs="宋体"/>
          <w:sz w:val="24"/>
          <w:highlight w:val="none"/>
        </w:rPr>
        <w:t>号：___________________</w:t>
      </w:r>
    </w:p>
    <w:p>
      <w:pPr>
        <w:snapToGrid w:val="0"/>
        <w:spacing w:line="360" w:lineRule="auto"/>
        <w:rPr>
          <w:rFonts w:hAnsi="宋体" w:cs="宋体"/>
          <w:sz w:val="30"/>
          <w:highlight w:val="none"/>
        </w:rPr>
      </w:pPr>
      <w:r>
        <w:rPr>
          <w:rFonts w:hint="eastAsia" w:hAnsi="宋体" w:cs="宋体"/>
          <w:sz w:val="24"/>
          <w:highlight w:val="none"/>
        </w:rPr>
        <w:t>法定代表人或授权代表签名:___________日期:_____年___月___日</w:t>
      </w:r>
    </w:p>
    <w:p>
      <w:pPr>
        <w:pStyle w:val="27"/>
        <w:snapToGrid w:val="0"/>
        <w:spacing w:before="295" w:after="295"/>
        <w:rPr>
          <w:rFonts w:ascii="宋体" w:hAnsi="宋体" w:cs="宋体"/>
          <w:highlight w:val="none"/>
        </w:rPr>
      </w:pPr>
    </w:p>
    <w:p>
      <w:pPr>
        <w:pStyle w:val="27"/>
        <w:snapToGrid w:val="0"/>
        <w:spacing w:before="295" w:after="295"/>
        <w:rPr>
          <w:rFonts w:ascii="宋体" w:hAnsi="宋体" w:cs="宋体"/>
          <w:highlight w:val="none"/>
        </w:rPr>
      </w:pPr>
    </w:p>
    <w:p>
      <w:pPr>
        <w:pStyle w:val="27"/>
        <w:snapToGrid w:val="0"/>
        <w:spacing w:before="295" w:after="295"/>
        <w:rPr>
          <w:rFonts w:hint="eastAsia" w:ascii="宋体" w:hAnsi="宋体" w:eastAsia="宋体" w:cs="宋体"/>
          <w:bCs/>
          <w:sz w:val="24"/>
          <w:highlight w:val="none"/>
          <w:lang w:eastAsia="zh-CN"/>
        </w:rPr>
      </w:pPr>
      <w:r>
        <w:rPr>
          <w:rFonts w:hint="eastAsia" w:ascii="宋体" w:hAnsi="宋体" w:cs="宋体"/>
          <w:bCs/>
          <w:sz w:val="24"/>
          <w:highlight w:val="none"/>
        </w:rPr>
        <w:br w:type="page"/>
      </w:r>
      <w:r>
        <w:rPr>
          <w:rFonts w:hint="eastAsia" w:ascii="宋体" w:hAnsi="宋体" w:cs="宋体"/>
          <w:bCs/>
          <w:sz w:val="24"/>
          <w:highlight w:val="none"/>
        </w:rPr>
        <w:t>2.</w:t>
      </w:r>
      <w:r>
        <w:rPr>
          <w:rFonts w:hint="eastAsia" w:ascii="宋体" w:hAnsi="宋体" w:cs="宋体"/>
          <w:bCs/>
          <w:sz w:val="24"/>
          <w:highlight w:val="none"/>
          <w:lang w:eastAsia="zh-CN"/>
        </w:rPr>
        <w:t>开标（报价）一览表</w:t>
      </w:r>
    </w:p>
    <w:p>
      <w:pPr>
        <w:snapToGrid w:val="0"/>
        <w:spacing w:before="50" w:after="50"/>
        <w:jc w:val="center"/>
        <w:rPr>
          <w:rFonts w:hint="eastAsia" w:hAnsi="宋体" w:eastAsia="宋体" w:cs="宋体"/>
          <w:bCs/>
          <w:sz w:val="24"/>
          <w:szCs w:val="21"/>
          <w:highlight w:val="none"/>
          <w:lang w:eastAsia="zh-CN"/>
        </w:rPr>
      </w:pPr>
      <w:r>
        <w:rPr>
          <w:rFonts w:hint="eastAsia" w:hAnsi="宋体" w:cs="宋体"/>
          <w:bCs/>
          <w:sz w:val="24"/>
          <w:szCs w:val="21"/>
          <w:highlight w:val="none"/>
          <w:lang w:eastAsia="zh-CN"/>
        </w:rPr>
        <w:t>开标（报价）一览表</w:t>
      </w:r>
    </w:p>
    <w:tbl>
      <w:tblPr>
        <w:tblStyle w:val="46"/>
        <w:tblW w:w="8985"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13"/>
        <w:gridCol w:w="7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1713" w:type="dxa"/>
            <w:vAlign w:val="center"/>
          </w:tcPr>
          <w:p>
            <w:pPr>
              <w:snapToGrid w:val="0"/>
              <w:spacing w:line="500" w:lineRule="exact"/>
              <w:jc w:val="center"/>
              <w:rPr>
                <w:rFonts w:hAnsi="宋体" w:cs="宋体"/>
                <w:sz w:val="24"/>
                <w:szCs w:val="22"/>
                <w:highlight w:val="none"/>
              </w:rPr>
            </w:pPr>
            <w:r>
              <w:rPr>
                <w:rFonts w:hint="eastAsia" w:hAnsi="宋体" w:cs="宋体"/>
                <w:sz w:val="24"/>
                <w:szCs w:val="22"/>
                <w:highlight w:val="none"/>
              </w:rPr>
              <w:t>项目编号</w:t>
            </w:r>
          </w:p>
        </w:tc>
        <w:tc>
          <w:tcPr>
            <w:tcW w:w="7272" w:type="dxa"/>
          </w:tcPr>
          <w:p>
            <w:pPr>
              <w:snapToGrid w:val="0"/>
              <w:spacing w:line="500" w:lineRule="exact"/>
              <w:jc w:val="center"/>
              <w:rPr>
                <w:rFonts w:hAnsi="宋体" w:cs="宋体"/>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713" w:type="dxa"/>
            <w:vAlign w:val="center"/>
          </w:tcPr>
          <w:p>
            <w:pPr>
              <w:snapToGrid w:val="0"/>
              <w:spacing w:line="500" w:lineRule="exact"/>
              <w:jc w:val="center"/>
              <w:rPr>
                <w:rFonts w:hAnsi="宋体" w:cs="宋体"/>
                <w:sz w:val="24"/>
                <w:szCs w:val="22"/>
                <w:highlight w:val="none"/>
              </w:rPr>
            </w:pPr>
            <w:r>
              <w:rPr>
                <w:rFonts w:hint="eastAsia" w:hAnsi="宋体" w:cs="宋体"/>
                <w:sz w:val="24"/>
                <w:szCs w:val="22"/>
                <w:highlight w:val="none"/>
              </w:rPr>
              <w:t>项目名称</w:t>
            </w:r>
          </w:p>
        </w:tc>
        <w:tc>
          <w:tcPr>
            <w:tcW w:w="7272" w:type="dxa"/>
          </w:tcPr>
          <w:p>
            <w:pPr>
              <w:snapToGrid w:val="0"/>
              <w:spacing w:line="500" w:lineRule="exact"/>
              <w:jc w:val="center"/>
              <w:rPr>
                <w:rFonts w:hAnsi="宋体" w:cs="宋体"/>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6" w:hRule="atLeast"/>
        </w:trPr>
        <w:tc>
          <w:tcPr>
            <w:tcW w:w="1713" w:type="dxa"/>
            <w:vAlign w:val="center"/>
          </w:tcPr>
          <w:p>
            <w:pPr>
              <w:snapToGrid w:val="0"/>
              <w:spacing w:line="500" w:lineRule="exact"/>
              <w:jc w:val="center"/>
              <w:rPr>
                <w:rFonts w:hAnsi="宋体" w:cs="宋体"/>
                <w:sz w:val="24"/>
                <w:szCs w:val="22"/>
                <w:highlight w:val="none"/>
              </w:rPr>
            </w:pPr>
            <w:r>
              <w:rPr>
                <w:rFonts w:hint="eastAsia" w:hAnsi="宋体" w:cs="宋体"/>
                <w:sz w:val="24"/>
                <w:szCs w:val="22"/>
                <w:highlight w:val="none"/>
              </w:rPr>
              <w:t>投标总报价</w:t>
            </w:r>
          </w:p>
        </w:tc>
        <w:tc>
          <w:tcPr>
            <w:tcW w:w="7272" w:type="dxa"/>
            <w:tcBorders>
              <w:bottom w:val="single" w:color="auto" w:sz="4" w:space="0"/>
            </w:tcBorders>
            <w:vAlign w:val="center"/>
          </w:tcPr>
          <w:p>
            <w:pPr>
              <w:snapToGrid w:val="0"/>
              <w:spacing w:line="500" w:lineRule="exact"/>
              <w:rPr>
                <w:rFonts w:hAnsi="宋体" w:cs="宋体"/>
                <w:sz w:val="24"/>
                <w:szCs w:val="22"/>
                <w:highlight w:val="none"/>
              </w:rPr>
            </w:pPr>
            <w:r>
              <w:rPr>
                <w:rFonts w:hint="eastAsia" w:hAnsi="宋体" w:cs="宋体"/>
                <w:sz w:val="24"/>
                <w:szCs w:val="22"/>
                <w:highlight w:val="none"/>
              </w:rPr>
              <w:t>投标总报价：</w:t>
            </w:r>
          </w:p>
          <w:p>
            <w:pPr>
              <w:snapToGrid w:val="0"/>
              <w:spacing w:line="500" w:lineRule="exact"/>
              <w:rPr>
                <w:rFonts w:hAnsi="宋体" w:cs="宋体"/>
                <w:sz w:val="24"/>
                <w:szCs w:val="22"/>
                <w:highlight w:val="none"/>
              </w:rPr>
            </w:pPr>
            <w:r>
              <w:rPr>
                <w:rFonts w:hint="eastAsia" w:hAnsi="宋体" w:cs="宋体"/>
                <w:sz w:val="24"/>
                <w:szCs w:val="22"/>
                <w:highlight w:val="none"/>
              </w:rPr>
              <w:t>￥：</w:t>
            </w:r>
          </w:p>
          <w:p>
            <w:pPr>
              <w:snapToGrid w:val="0"/>
              <w:spacing w:line="500" w:lineRule="exact"/>
              <w:rPr>
                <w:rFonts w:hAnsi="宋体" w:cs="宋体"/>
                <w:sz w:val="24"/>
                <w:highlight w:val="none"/>
              </w:rPr>
            </w:pPr>
            <w:r>
              <w:rPr>
                <w:rFonts w:hint="eastAsia" w:hAnsi="宋体" w:cs="宋体"/>
                <w:sz w:val="24"/>
                <w:szCs w:val="22"/>
                <w:highlight w:val="none"/>
              </w:rPr>
              <w:t>（大写）人民币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7" w:hRule="atLeast"/>
        </w:trPr>
        <w:tc>
          <w:tcPr>
            <w:tcW w:w="1713" w:type="dxa"/>
            <w:vAlign w:val="center"/>
          </w:tcPr>
          <w:p>
            <w:pPr>
              <w:snapToGrid w:val="0"/>
              <w:spacing w:line="500" w:lineRule="exact"/>
              <w:jc w:val="center"/>
              <w:rPr>
                <w:rFonts w:hAnsi="宋体" w:cs="宋体"/>
                <w:sz w:val="24"/>
                <w:szCs w:val="22"/>
                <w:highlight w:val="none"/>
              </w:rPr>
            </w:pPr>
            <w:r>
              <w:rPr>
                <w:rFonts w:hint="eastAsia" w:hAnsi="宋体" w:cs="宋体"/>
                <w:sz w:val="24"/>
                <w:szCs w:val="22"/>
                <w:highlight w:val="none"/>
              </w:rPr>
              <w:t>报价说明</w:t>
            </w:r>
          </w:p>
        </w:tc>
        <w:tc>
          <w:tcPr>
            <w:tcW w:w="7272" w:type="dxa"/>
            <w:vAlign w:val="center"/>
          </w:tcPr>
          <w:p>
            <w:pPr>
              <w:widowControl/>
              <w:snapToGrid w:val="0"/>
              <w:spacing w:line="400" w:lineRule="exact"/>
              <w:jc w:val="both"/>
              <w:rPr>
                <w:rFonts w:hAnsi="宋体" w:cs="宋体"/>
                <w:sz w:val="21"/>
                <w:szCs w:val="21"/>
                <w:highlight w:val="none"/>
                <w:u w:val="single"/>
              </w:rPr>
            </w:pPr>
            <w:r>
              <w:rPr>
                <w:rFonts w:hint="eastAsia" w:hAnsi="宋体" w:cs="宋体"/>
                <w:sz w:val="21"/>
                <w:szCs w:val="21"/>
                <w:highlight w:val="none"/>
              </w:rPr>
              <w:t>本投标人已知悉并同意，投标人中标后应根据招标文件中约定的金额向本项目的政府采购代理机构计算支付采购代理服务费，为此，我方已根据财政部财库〔2018〕2号《政府采购代理机构管理暂行办法》的规定并按本次招标的报价要求，将应支付的采购代理服务费包含在上述的项目报价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17" w:hRule="atLeast"/>
        </w:trPr>
        <w:tc>
          <w:tcPr>
            <w:tcW w:w="1713" w:type="dxa"/>
            <w:vAlign w:val="center"/>
          </w:tcPr>
          <w:p>
            <w:pPr>
              <w:snapToGrid w:val="0"/>
              <w:spacing w:line="500" w:lineRule="exact"/>
              <w:jc w:val="center"/>
              <w:rPr>
                <w:rFonts w:hAnsi="宋体" w:cs="宋体"/>
                <w:sz w:val="24"/>
                <w:szCs w:val="22"/>
                <w:highlight w:val="none"/>
              </w:rPr>
            </w:pPr>
            <w:r>
              <w:rPr>
                <w:rFonts w:hint="eastAsia" w:hAnsi="宋体" w:cs="宋体"/>
                <w:sz w:val="24"/>
                <w:szCs w:val="22"/>
                <w:highlight w:val="none"/>
              </w:rPr>
              <w:t>关于投标人是否符合政策性价格扣除的说明</w:t>
            </w:r>
          </w:p>
        </w:tc>
        <w:tc>
          <w:tcPr>
            <w:tcW w:w="7272" w:type="dxa"/>
            <w:vAlign w:val="center"/>
          </w:tcPr>
          <w:p>
            <w:pPr>
              <w:snapToGrid w:val="0"/>
              <w:spacing w:line="460" w:lineRule="exact"/>
              <w:rPr>
                <w:rFonts w:hAnsi="宋体" w:cs="宋体"/>
                <w:sz w:val="21"/>
                <w:szCs w:val="21"/>
                <w:highlight w:val="none"/>
              </w:rPr>
            </w:pPr>
            <w:r>
              <w:rPr>
                <w:rFonts w:hint="eastAsia" w:hAnsi="宋体" w:cs="宋体"/>
                <w:sz w:val="21"/>
                <w:szCs w:val="21"/>
                <w:highlight w:val="none"/>
              </w:rPr>
              <w:t>依照《政府采购促进中小企业发展管理办法》、《财政部 民政部 中国残疾人联合会关于促进残疾人就业政府采购政策的通知》（财库〔2017〕141号）、《财政部、司法部关于政府采购支持监狱企业发展有关问题的通知》（财库〔2014〕68号）的规定，本投标人       （投标人应根据实际在空格处填写“符合”或“不符合”，不填写的视同“不符合”）小微企业（或残疾人福利性单位、或监狱企业）的相关要求。</w:t>
            </w:r>
          </w:p>
          <w:p>
            <w:pPr>
              <w:widowControl/>
              <w:snapToGrid w:val="0"/>
              <w:spacing w:line="460" w:lineRule="exact"/>
              <w:rPr>
                <w:rFonts w:hAnsi="宋体" w:cs="宋体"/>
                <w:sz w:val="21"/>
                <w:szCs w:val="21"/>
                <w:highlight w:val="none"/>
              </w:rPr>
            </w:pPr>
            <w:r>
              <w:rPr>
                <w:rFonts w:hint="eastAsia" w:hAnsi="宋体" w:cs="宋体"/>
                <w:sz w:val="21"/>
                <w:szCs w:val="21"/>
                <w:highlight w:val="none"/>
              </w:rPr>
              <w:t>本投标人对投标文件所提供的全部资料的真实性承担法律责任，并将无条件接受采购代理机构、招标人及政府采购监督管理部门等对其中任何资料进行核实的要求。</w:t>
            </w:r>
          </w:p>
        </w:tc>
      </w:tr>
    </w:tbl>
    <w:p>
      <w:pPr>
        <w:snapToGrid w:val="0"/>
        <w:spacing w:before="50" w:after="50" w:line="460" w:lineRule="exact"/>
        <w:rPr>
          <w:rFonts w:hAnsi="宋体" w:cs="宋体"/>
          <w:b/>
          <w:sz w:val="21"/>
          <w:szCs w:val="21"/>
          <w:highlight w:val="none"/>
        </w:rPr>
      </w:pPr>
      <w:r>
        <w:rPr>
          <w:rFonts w:hint="eastAsia" w:hAnsi="宋体" w:cs="宋体"/>
          <w:sz w:val="21"/>
          <w:szCs w:val="21"/>
          <w:highlight w:val="none"/>
        </w:rPr>
        <w:t>注:1.报价一经涂改，应在涂改处加盖单位公章或者由法定代表人或授权委托人签字或盖章，否则其投标作无效标处理。</w:t>
      </w:r>
    </w:p>
    <w:p>
      <w:pPr>
        <w:snapToGrid w:val="0"/>
        <w:spacing w:before="50" w:after="50" w:line="460" w:lineRule="exact"/>
        <w:ind w:left="-99" w:leftChars="-29" w:right="-1323" w:rightChars="-389" w:firstLine="420" w:firstLineChars="200"/>
        <w:rPr>
          <w:rFonts w:hAnsi="宋体" w:cs="宋体"/>
          <w:sz w:val="21"/>
          <w:szCs w:val="21"/>
          <w:highlight w:val="none"/>
        </w:rPr>
      </w:pPr>
      <w:r>
        <w:rPr>
          <w:rFonts w:hint="eastAsia" w:hAnsi="宋体" w:cs="宋体"/>
          <w:sz w:val="21"/>
          <w:szCs w:val="21"/>
          <w:highlight w:val="none"/>
        </w:rPr>
        <w:t>法定代表人或授权代表（（签字或盖章）：</w:t>
      </w:r>
    </w:p>
    <w:p>
      <w:pPr>
        <w:snapToGrid w:val="0"/>
        <w:spacing w:before="50" w:after="50" w:line="460" w:lineRule="exact"/>
        <w:ind w:left="-99" w:leftChars="-29" w:right="-1323" w:rightChars="-389" w:firstLine="420" w:firstLineChars="200"/>
        <w:rPr>
          <w:rFonts w:hAnsi="宋体" w:cs="宋体"/>
          <w:sz w:val="21"/>
          <w:szCs w:val="21"/>
          <w:highlight w:val="none"/>
        </w:rPr>
      </w:pPr>
      <w:r>
        <w:rPr>
          <w:rFonts w:hint="eastAsia" w:hAnsi="宋体" w:cs="宋体"/>
          <w:sz w:val="21"/>
          <w:szCs w:val="21"/>
          <w:highlight w:val="none"/>
        </w:rPr>
        <w:t xml:space="preserve">投标人名称（盖章）：                                 </w:t>
      </w:r>
    </w:p>
    <w:p>
      <w:pPr>
        <w:snapToGrid w:val="0"/>
        <w:spacing w:before="50" w:after="50" w:line="460" w:lineRule="exact"/>
        <w:ind w:left="-99" w:leftChars="-29" w:right="-1323" w:rightChars="-389" w:firstLine="420" w:firstLineChars="200"/>
        <w:rPr>
          <w:rFonts w:hAnsi="宋体" w:cs="宋体"/>
          <w:highlight w:val="none"/>
        </w:rPr>
      </w:pPr>
      <w:r>
        <w:rPr>
          <w:rFonts w:hint="eastAsia" w:hAnsi="宋体" w:cs="宋体"/>
          <w:sz w:val="21"/>
          <w:szCs w:val="21"/>
          <w:highlight w:val="none"/>
        </w:rPr>
        <w:t xml:space="preserve"> 日期：   年   月    日</w:t>
      </w:r>
    </w:p>
    <w:p>
      <w:pPr>
        <w:rPr>
          <w:rFonts w:hAnsi="宋体" w:cs="宋体"/>
          <w:highlight w:val="none"/>
        </w:rPr>
      </w:pPr>
      <w:r>
        <w:rPr>
          <w:rFonts w:hint="eastAsia" w:hAnsi="宋体" w:cs="宋体"/>
          <w:highlight w:val="none"/>
        </w:rPr>
        <w:br w:type="page"/>
      </w:r>
    </w:p>
    <w:p>
      <w:pPr>
        <w:ind w:firstLine="723" w:firstLineChars="300"/>
        <w:rPr>
          <w:rFonts w:hAnsi="宋体" w:cs="宋体"/>
          <w:sz w:val="24"/>
          <w:szCs w:val="24"/>
          <w:highlight w:val="none"/>
        </w:rPr>
      </w:pPr>
      <w:r>
        <w:rPr>
          <w:rFonts w:hint="eastAsia" w:hAnsi="宋体" w:cs="宋体"/>
          <w:b/>
          <w:sz w:val="24"/>
          <w:highlight w:val="none"/>
        </w:rPr>
        <w:t>3.中小企业（或残疾人福利性单位、监狱企业）提供服务的资料</w:t>
      </w:r>
    </w:p>
    <w:p>
      <w:pPr>
        <w:spacing w:line="440" w:lineRule="exact"/>
        <w:ind w:left="1418"/>
        <w:rPr>
          <w:rFonts w:hAnsi="宋体" w:cs="宋体"/>
          <w:sz w:val="21"/>
          <w:szCs w:val="21"/>
          <w:highlight w:val="none"/>
        </w:rPr>
      </w:pPr>
      <w:r>
        <w:rPr>
          <w:rFonts w:hint="eastAsia" w:hAnsi="宋体" w:cs="宋体"/>
          <w:spacing w:val="-1"/>
          <w:sz w:val="21"/>
          <w:szCs w:val="21"/>
          <w:highlight w:val="none"/>
        </w:rPr>
        <w:t>（投标人应完整提供以下资料，否则评审时将不能享受相应的价格折扣）</w:t>
      </w:r>
    </w:p>
    <w:p>
      <w:pPr>
        <w:spacing w:line="440" w:lineRule="exact"/>
        <w:jc w:val="center"/>
        <w:rPr>
          <w:rFonts w:hAnsi="宋体" w:cs="宋体"/>
          <w:sz w:val="24"/>
          <w:szCs w:val="24"/>
          <w:highlight w:val="none"/>
        </w:rPr>
      </w:pPr>
      <w:r>
        <w:rPr>
          <w:rFonts w:hint="eastAsia" w:hAnsi="宋体" w:cs="宋体"/>
          <w:sz w:val="24"/>
          <w:szCs w:val="24"/>
          <w:highlight w:val="none"/>
        </w:rPr>
        <w:t>（1）中小企业声明函（工程、服务类）</w:t>
      </w:r>
    </w:p>
    <w:p>
      <w:pPr>
        <w:snapToGrid w:val="0"/>
        <w:spacing w:line="440" w:lineRule="exact"/>
        <w:ind w:firstLine="420" w:firstLineChars="200"/>
        <w:rPr>
          <w:rFonts w:hAnsi="宋体" w:cs="宋体"/>
          <w:kern w:val="2"/>
          <w:sz w:val="21"/>
          <w:szCs w:val="21"/>
          <w:highlight w:val="none"/>
        </w:rPr>
      </w:pPr>
      <w:r>
        <w:rPr>
          <w:rFonts w:hint="eastAsia" w:hAnsi="宋体" w:cs="宋体"/>
          <w:kern w:val="2"/>
          <w:sz w:val="21"/>
          <w:szCs w:val="21"/>
          <w:highlight w:val="none"/>
        </w:rPr>
        <w:t>本公司（联合体）郑重声明，根据《政府采购促进中小企业发展管理办法》（财库﹝2020﹞46 号）的规定，本公司（联合体）参加</w:t>
      </w:r>
      <w:r>
        <w:rPr>
          <w:rFonts w:hint="eastAsia" w:hAnsi="宋体" w:cs="宋体"/>
          <w:kern w:val="2"/>
          <w:sz w:val="21"/>
          <w:szCs w:val="21"/>
          <w:highlight w:val="none"/>
          <w:u w:val="single"/>
        </w:rPr>
        <w:t xml:space="preserve">  （单位名称）  </w:t>
      </w:r>
      <w:r>
        <w:rPr>
          <w:rFonts w:hint="eastAsia" w:hAnsi="宋体" w:cs="宋体"/>
          <w:kern w:val="2"/>
          <w:sz w:val="21"/>
          <w:szCs w:val="21"/>
          <w:highlight w:val="none"/>
        </w:rPr>
        <w:t>的</w:t>
      </w:r>
      <w:r>
        <w:rPr>
          <w:rFonts w:hint="eastAsia" w:hAnsi="宋体" w:cs="宋体"/>
          <w:kern w:val="2"/>
          <w:sz w:val="21"/>
          <w:szCs w:val="21"/>
          <w:highlight w:val="none"/>
          <w:u w:val="single"/>
        </w:rPr>
        <w:t xml:space="preserve">  （项目名称）</w:t>
      </w:r>
      <w:r>
        <w:rPr>
          <w:rFonts w:hint="eastAsia" w:hAnsi="宋体" w:cs="宋体"/>
          <w:kern w:val="2"/>
          <w:sz w:val="21"/>
          <w:szCs w:val="21"/>
          <w:highlight w:val="none"/>
        </w:rPr>
        <w:t xml:space="preserve">  采购活动，工程的施工单位全部为符合政策要求的中小企业（或者：服务全部由符合政策要求的中小企业承接）。相关企业（含联合体中的中小企业、签订分包意向协议的中小企业）的具体情况如下： </w:t>
      </w:r>
    </w:p>
    <w:p>
      <w:pPr>
        <w:snapToGrid w:val="0"/>
        <w:spacing w:line="440" w:lineRule="exact"/>
        <w:ind w:firstLine="422" w:firstLineChars="200"/>
        <w:rPr>
          <w:rFonts w:hAnsi="宋体" w:cs="宋体"/>
          <w:b/>
          <w:bCs/>
          <w:kern w:val="2"/>
          <w:sz w:val="21"/>
          <w:szCs w:val="21"/>
          <w:highlight w:val="none"/>
        </w:rPr>
      </w:pPr>
      <w:r>
        <w:rPr>
          <w:rFonts w:hint="eastAsia" w:hAnsi="宋体" w:cs="宋体"/>
          <w:b/>
          <w:bCs/>
          <w:kern w:val="2"/>
          <w:sz w:val="21"/>
          <w:szCs w:val="21"/>
          <w:highlight w:val="none"/>
        </w:rPr>
        <w:t>1.</w:t>
      </w:r>
      <w:r>
        <w:rPr>
          <w:rFonts w:hint="eastAsia" w:hAnsi="宋体" w:cs="宋体"/>
          <w:b/>
          <w:bCs/>
          <w:kern w:val="2"/>
          <w:sz w:val="21"/>
          <w:szCs w:val="21"/>
          <w:highlight w:val="none"/>
          <w:u w:val="single"/>
        </w:rPr>
        <w:t xml:space="preserve">（标的名称） </w:t>
      </w:r>
      <w:r>
        <w:rPr>
          <w:rFonts w:hint="eastAsia" w:hAnsi="宋体" w:cs="宋体"/>
          <w:b/>
          <w:bCs/>
          <w:kern w:val="2"/>
          <w:sz w:val="21"/>
          <w:szCs w:val="21"/>
          <w:highlight w:val="none"/>
        </w:rPr>
        <w:t>，属于</w:t>
      </w:r>
      <w:r>
        <w:rPr>
          <w:rFonts w:hint="eastAsia" w:hAnsi="宋体" w:cs="宋体"/>
          <w:b/>
          <w:bCs/>
          <w:kern w:val="2"/>
          <w:sz w:val="21"/>
          <w:szCs w:val="21"/>
          <w:highlight w:val="none"/>
          <w:u w:val="single"/>
        </w:rPr>
        <w:t>（采购文件中明确的所属行业）</w:t>
      </w:r>
      <w:r>
        <w:rPr>
          <w:rFonts w:hint="eastAsia" w:hAnsi="宋体" w:cs="宋体"/>
          <w:b/>
          <w:bCs/>
          <w:kern w:val="2"/>
          <w:sz w:val="21"/>
          <w:szCs w:val="21"/>
          <w:highlight w:val="none"/>
        </w:rPr>
        <w:t>； 承建（承接）企业为</w:t>
      </w:r>
      <w:r>
        <w:rPr>
          <w:rFonts w:hint="eastAsia" w:hAnsi="宋体" w:cs="宋体"/>
          <w:b/>
          <w:bCs/>
          <w:kern w:val="2"/>
          <w:sz w:val="21"/>
          <w:szCs w:val="21"/>
          <w:highlight w:val="none"/>
          <w:u w:val="single"/>
        </w:rPr>
        <w:t>（企业名称）</w:t>
      </w:r>
      <w:r>
        <w:rPr>
          <w:rFonts w:hint="eastAsia" w:hAnsi="宋体" w:cs="宋体"/>
          <w:b/>
          <w:bCs/>
          <w:kern w:val="2"/>
          <w:sz w:val="21"/>
          <w:szCs w:val="21"/>
          <w:highlight w:val="none"/>
        </w:rPr>
        <w:t>，从业人员</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人，营业收入为</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万元，资产总额为</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万元，属于</w:t>
      </w:r>
      <w:r>
        <w:rPr>
          <w:rFonts w:hint="eastAsia" w:hAnsi="宋体" w:cs="宋体"/>
          <w:b/>
          <w:bCs/>
          <w:kern w:val="2"/>
          <w:sz w:val="21"/>
          <w:szCs w:val="21"/>
          <w:highlight w:val="none"/>
          <w:u w:val="single"/>
        </w:rPr>
        <w:t>（中型企业、小型企业、微型企业）</w:t>
      </w:r>
      <w:r>
        <w:rPr>
          <w:rFonts w:hint="eastAsia" w:hAnsi="宋体" w:cs="宋体"/>
          <w:b/>
          <w:bCs/>
          <w:kern w:val="2"/>
          <w:sz w:val="21"/>
          <w:szCs w:val="21"/>
          <w:highlight w:val="none"/>
        </w:rPr>
        <w:t xml:space="preserve">； </w:t>
      </w:r>
    </w:p>
    <w:p>
      <w:pPr>
        <w:snapToGrid w:val="0"/>
        <w:spacing w:line="440" w:lineRule="exact"/>
        <w:ind w:firstLine="422" w:firstLineChars="200"/>
        <w:rPr>
          <w:rFonts w:hAnsi="宋体" w:cs="宋体"/>
          <w:b/>
          <w:bCs/>
          <w:kern w:val="2"/>
          <w:sz w:val="21"/>
          <w:szCs w:val="21"/>
          <w:highlight w:val="none"/>
        </w:rPr>
      </w:pPr>
      <w:r>
        <w:rPr>
          <w:rFonts w:hint="eastAsia" w:hAnsi="宋体" w:cs="宋体"/>
          <w:b/>
          <w:bCs/>
          <w:kern w:val="2"/>
          <w:sz w:val="21"/>
          <w:szCs w:val="21"/>
          <w:highlight w:val="none"/>
        </w:rPr>
        <w:t>2.</w:t>
      </w:r>
      <w:r>
        <w:rPr>
          <w:rFonts w:hint="eastAsia" w:hAnsi="宋体" w:cs="宋体"/>
          <w:b/>
          <w:bCs/>
          <w:kern w:val="2"/>
          <w:sz w:val="21"/>
          <w:szCs w:val="21"/>
          <w:highlight w:val="none"/>
          <w:u w:val="single"/>
        </w:rPr>
        <w:t xml:space="preserve">（标的名称） </w:t>
      </w:r>
      <w:r>
        <w:rPr>
          <w:rFonts w:hint="eastAsia" w:hAnsi="宋体" w:cs="宋体"/>
          <w:b/>
          <w:bCs/>
          <w:kern w:val="2"/>
          <w:sz w:val="21"/>
          <w:szCs w:val="21"/>
          <w:highlight w:val="none"/>
        </w:rPr>
        <w:t>，属于</w:t>
      </w:r>
      <w:r>
        <w:rPr>
          <w:rFonts w:hint="eastAsia" w:hAnsi="宋体" w:cs="宋体"/>
          <w:b/>
          <w:bCs/>
          <w:kern w:val="2"/>
          <w:sz w:val="21"/>
          <w:szCs w:val="21"/>
          <w:highlight w:val="none"/>
          <w:u w:val="single"/>
        </w:rPr>
        <w:t>（采购文件中明确的所属行业）</w:t>
      </w:r>
      <w:r>
        <w:rPr>
          <w:rFonts w:hint="eastAsia" w:hAnsi="宋体" w:cs="宋体"/>
          <w:b/>
          <w:bCs/>
          <w:kern w:val="2"/>
          <w:sz w:val="21"/>
          <w:szCs w:val="21"/>
          <w:highlight w:val="none"/>
        </w:rPr>
        <w:t>； 承建（承接）企业为</w:t>
      </w:r>
      <w:r>
        <w:rPr>
          <w:rFonts w:hint="eastAsia" w:hAnsi="宋体" w:cs="宋体"/>
          <w:b/>
          <w:bCs/>
          <w:kern w:val="2"/>
          <w:sz w:val="21"/>
          <w:szCs w:val="21"/>
          <w:highlight w:val="none"/>
          <w:u w:val="single"/>
        </w:rPr>
        <w:t>（企业名称）</w:t>
      </w:r>
      <w:r>
        <w:rPr>
          <w:rFonts w:hint="eastAsia" w:hAnsi="宋体" w:cs="宋体"/>
          <w:b/>
          <w:bCs/>
          <w:kern w:val="2"/>
          <w:sz w:val="21"/>
          <w:szCs w:val="21"/>
          <w:highlight w:val="none"/>
        </w:rPr>
        <w:t>，从业人员</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人，营业收入为</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万元，资产总额为</w:t>
      </w:r>
      <w:r>
        <w:rPr>
          <w:rFonts w:hint="eastAsia" w:hAnsi="宋体" w:cs="宋体"/>
          <w:b/>
          <w:bCs/>
          <w:kern w:val="2"/>
          <w:sz w:val="21"/>
          <w:szCs w:val="21"/>
          <w:highlight w:val="none"/>
          <w:u w:val="single"/>
        </w:rPr>
        <w:t xml:space="preserve">   </w:t>
      </w:r>
      <w:r>
        <w:rPr>
          <w:rFonts w:hint="eastAsia" w:hAnsi="宋体" w:cs="宋体"/>
          <w:b/>
          <w:bCs/>
          <w:kern w:val="2"/>
          <w:sz w:val="21"/>
          <w:szCs w:val="21"/>
          <w:highlight w:val="none"/>
        </w:rPr>
        <w:t>万元，属于</w:t>
      </w:r>
      <w:r>
        <w:rPr>
          <w:rFonts w:hint="eastAsia" w:hAnsi="宋体" w:cs="宋体"/>
          <w:b/>
          <w:bCs/>
          <w:kern w:val="2"/>
          <w:sz w:val="21"/>
          <w:szCs w:val="21"/>
          <w:highlight w:val="none"/>
          <w:u w:val="single"/>
        </w:rPr>
        <w:t>（中型企业、小型企业、微型企业）</w:t>
      </w:r>
      <w:r>
        <w:rPr>
          <w:rFonts w:hint="eastAsia" w:hAnsi="宋体" w:cs="宋体"/>
          <w:b/>
          <w:bCs/>
          <w:kern w:val="2"/>
          <w:sz w:val="21"/>
          <w:szCs w:val="21"/>
          <w:highlight w:val="none"/>
        </w:rPr>
        <w:t xml:space="preserve">； </w:t>
      </w:r>
    </w:p>
    <w:p>
      <w:pPr>
        <w:snapToGrid w:val="0"/>
        <w:spacing w:line="440" w:lineRule="exact"/>
        <w:ind w:firstLine="630" w:firstLineChars="300"/>
        <w:rPr>
          <w:rFonts w:hAnsi="宋体" w:cs="宋体"/>
          <w:kern w:val="2"/>
          <w:sz w:val="21"/>
          <w:szCs w:val="21"/>
          <w:highlight w:val="none"/>
        </w:rPr>
      </w:pPr>
      <w:r>
        <w:rPr>
          <w:rFonts w:hint="eastAsia" w:hAnsi="宋体" w:cs="宋体"/>
          <w:kern w:val="2"/>
          <w:sz w:val="21"/>
          <w:szCs w:val="21"/>
          <w:highlight w:val="none"/>
        </w:rPr>
        <w:t xml:space="preserve">…… </w:t>
      </w:r>
    </w:p>
    <w:p>
      <w:pPr>
        <w:snapToGrid w:val="0"/>
        <w:spacing w:line="440" w:lineRule="exact"/>
        <w:ind w:firstLine="420" w:firstLineChars="200"/>
        <w:rPr>
          <w:rFonts w:hAnsi="宋体" w:cs="宋体"/>
          <w:kern w:val="2"/>
          <w:sz w:val="21"/>
          <w:szCs w:val="21"/>
          <w:highlight w:val="none"/>
        </w:rPr>
      </w:pPr>
      <w:r>
        <w:rPr>
          <w:rFonts w:hint="eastAsia" w:hAnsi="宋体" w:cs="宋体"/>
          <w:kern w:val="2"/>
          <w:sz w:val="21"/>
          <w:szCs w:val="21"/>
          <w:highlight w:val="none"/>
        </w:rPr>
        <w:t xml:space="preserve">以上企业，不属于大企业的分支机构，不存在控股股东为大企业的情形，也不存在与大企业的负责人为同一人的情形。 </w:t>
      </w:r>
    </w:p>
    <w:p>
      <w:pPr>
        <w:snapToGrid w:val="0"/>
        <w:spacing w:line="440" w:lineRule="exact"/>
        <w:ind w:firstLine="420" w:firstLineChars="200"/>
        <w:rPr>
          <w:rFonts w:hAnsi="宋体" w:cs="宋体"/>
          <w:kern w:val="2"/>
          <w:sz w:val="21"/>
          <w:szCs w:val="21"/>
          <w:highlight w:val="none"/>
        </w:rPr>
      </w:pPr>
      <w:r>
        <w:rPr>
          <w:rFonts w:hint="eastAsia" w:hAnsi="宋体" w:cs="宋体"/>
          <w:kern w:val="2"/>
          <w:sz w:val="21"/>
          <w:szCs w:val="21"/>
          <w:highlight w:val="none"/>
        </w:rPr>
        <w:t xml:space="preserve">本企业对上述声明内容的真实性负责。如有虚假，将依法承担相应责任。 </w:t>
      </w:r>
    </w:p>
    <w:p>
      <w:pPr>
        <w:snapToGrid w:val="0"/>
        <w:spacing w:line="440" w:lineRule="exact"/>
        <w:ind w:firstLine="210" w:firstLineChars="100"/>
        <w:rPr>
          <w:rFonts w:hAnsi="宋体" w:cs="宋体"/>
          <w:kern w:val="2"/>
          <w:sz w:val="21"/>
          <w:szCs w:val="21"/>
          <w:highlight w:val="none"/>
        </w:rPr>
      </w:pPr>
      <w:r>
        <w:rPr>
          <w:rFonts w:hint="eastAsia" w:hAnsi="宋体" w:cs="宋体"/>
          <w:kern w:val="2"/>
          <w:sz w:val="21"/>
          <w:szCs w:val="21"/>
          <w:highlight w:val="none"/>
        </w:rPr>
        <w:t xml:space="preserve">企业名称（盖章）： </w:t>
      </w:r>
    </w:p>
    <w:p>
      <w:pPr>
        <w:snapToGrid w:val="0"/>
        <w:spacing w:line="440" w:lineRule="exact"/>
        <w:ind w:firstLine="210" w:firstLineChars="100"/>
        <w:rPr>
          <w:rFonts w:hAnsi="宋体" w:cs="宋体"/>
          <w:kern w:val="2"/>
          <w:sz w:val="21"/>
          <w:szCs w:val="21"/>
          <w:highlight w:val="none"/>
        </w:rPr>
      </w:pPr>
      <w:r>
        <w:rPr>
          <w:rFonts w:hint="eastAsia" w:hAnsi="宋体" w:cs="宋体"/>
          <w:kern w:val="2"/>
          <w:sz w:val="21"/>
          <w:szCs w:val="21"/>
          <w:highlight w:val="none"/>
        </w:rPr>
        <w:t xml:space="preserve">日 期： </w:t>
      </w:r>
    </w:p>
    <w:p>
      <w:pPr>
        <w:snapToGrid w:val="0"/>
        <w:spacing w:line="440" w:lineRule="exact"/>
        <w:rPr>
          <w:rFonts w:hAnsi="宋体" w:cs="宋体"/>
          <w:kern w:val="2"/>
          <w:sz w:val="21"/>
          <w:szCs w:val="21"/>
          <w:highlight w:val="none"/>
        </w:rPr>
      </w:pPr>
      <w:r>
        <w:rPr>
          <w:rFonts w:hint="eastAsia" w:hAnsi="宋体" w:cs="宋体"/>
          <w:b/>
          <w:kern w:val="2"/>
          <w:sz w:val="21"/>
          <w:szCs w:val="21"/>
          <w:highlight w:val="none"/>
        </w:rPr>
        <w:t>填报说明：</w:t>
      </w:r>
      <w:r>
        <w:rPr>
          <w:rFonts w:hint="eastAsia" w:hAnsi="宋体" w:cs="宋体"/>
          <w:kern w:val="2"/>
          <w:sz w:val="21"/>
          <w:szCs w:val="21"/>
          <w:highlight w:val="none"/>
        </w:rPr>
        <w:t>①本声明函中“从业人员”、“营业收入”、“资产总额”填报上一年度数据，无上一年度数据的新成立企业可不填报。</w:t>
      </w:r>
    </w:p>
    <w:p>
      <w:pPr>
        <w:autoSpaceDE/>
        <w:autoSpaceDN/>
        <w:adjustRightInd/>
        <w:spacing w:line="440" w:lineRule="exact"/>
        <w:ind w:firstLine="420" w:firstLineChars="200"/>
        <w:jc w:val="both"/>
        <w:rPr>
          <w:rFonts w:hAnsi="宋体" w:cs="宋体"/>
          <w:kern w:val="2"/>
          <w:sz w:val="21"/>
          <w:szCs w:val="21"/>
          <w:highlight w:val="none"/>
        </w:rPr>
      </w:pPr>
      <w:r>
        <w:rPr>
          <w:rFonts w:hint="eastAsia" w:hAnsi="宋体" w:cs="宋体"/>
          <w:kern w:val="2"/>
          <w:sz w:val="21"/>
          <w:szCs w:val="21"/>
          <w:highlight w:val="none"/>
        </w:rPr>
        <w:t>②本项目采购标的对应的中小企业划分标准所属行业为《中小企业划型标准规定》（工信部联企业〔2011〕300号）中的“软件和信息技术服务业”，划型标准为：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autoSpaceDE/>
        <w:autoSpaceDN/>
        <w:adjustRightInd/>
        <w:spacing w:line="440" w:lineRule="exact"/>
        <w:ind w:firstLine="420" w:firstLineChars="200"/>
        <w:jc w:val="both"/>
        <w:rPr>
          <w:rFonts w:hAnsi="宋体" w:cs="宋体"/>
          <w:kern w:val="2"/>
          <w:sz w:val="21"/>
          <w:szCs w:val="21"/>
          <w:highlight w:val="none"/>
        </w:rPr>
      </w:pPr>
      <w:r>
        <w:rPr>
          <w:rFonts w:hint="eastAsia" w:hAnsi="宋体" w:cs="宋体"/>
          <w:kern w:val="2"/>
          <w:sz w:val="21"/>
          <w:szCs w:val="21"/>
          <w:highlight w:val="none"/>
        </w:rPr>
        <w:t>③符合中小企业划分标准的个体工商户、其他组织机构，在本项目采购活动中视同中小企业；</w:t>
      </w:r>
    </w:p>
    <w:p>
      <w:pPr>
        <w:spacing w:line="440" w:lineRule="exact"/>
        <w:ind w:firstLine="420" w:firstLineChars="200"/>
        <w:rPr>
          <w:rFonts w:hAnsi="宋体" w:cs="宋体"/>
          <w:highlight w:val="none"/>
        </w:rPr>
      </w:pPr>
      <w:r>
        <w:rPr>
          <w:rFonts w:hint="eastAsia" w:hAnsi="宋体" w:cs="宋体"/>
          <w:kern w:val="2"/>
          <w:sz w:val="21"/>
          <w:szCs w:val="21"/>
          <w:highlight w:val="none"/>
        </w:rPr>
        <w:t>④投标人应当按照《政府采购促进中小企业发展管理办法》规定和《中小企业划型标准规定》（工信部联企业〔2011〕300号），如实填写并提交《中小企业声明函》，对其声明内容的真实性负责，声明函内容不实的，属于提供虚假材料谋取中标、成交，将依照《中华人民共和国政府采购法》等国家有关规定追究相应责任</w:t>
      </w:r>
      <w:r>
        <w:rPr>
          <w:rFonts w:hint="eastAsia" w:hAnsi="宋体" w:cs="宋体"/>
          <w:spacing w:val="-1"/>
          <w:sz w:val="20"/>
          <w:highlight w:val="none"/>
        </w:rPr>
        <w:t>。</w:t>
      </w:r>
    </w:p>
    <w:p>
      <w:pPr>
        <w:spacing w:line="440" w:lineRule="exact"/>
        <w:jc w:val="center"/>
        <w:rPr>
          <w:rFonts w:hAnsi="宋体" w:cs="宋体"/>
          <w:sz w:val="24"/>
          <w:szCs w:val="24"/>
          <w:highlight w:val="none"/>
        </w:rPr>
      </w:pPr>
      <w:r>
        <w:rPr>
          <w:rFonts w:hint="eastAsia" w:hAnsi="宋体" w:cs="宋体"/>
          <w:sz w:val="24"/>
          <w:szCs w:val="24"/>
          <w:highlight w:val="none"/>
        </w:rPr>
        <w:t>（2）残疾人福利性单位声明函</w:t>
      </w:r>
    </w:p>
    <w:p>
      <w:pPr>
        <w:pStyle w:val="80"/>
        <w:spacing w:before="634" w:beforeLines="100" w:line="500" w:lineRule="exact"/>
        <w:ind w:firstLine="601"/>
        <w:rPr>
          <w:rFonts w:hint="default" w:ascii="宋体" w:hAnsi="宋体" w:eastAsia="宋体" w:cs="宋体"/>
          <w:kern w:val="2"/>
          <w:szCs w:val="21"/>
          <w:highlight w:val="none"/>
        </w:rPr>
      </w:pPr>
      <w:r>
        <w:rPr>
          <w:rFonts w:ascii="宋体" w:hAnsi="宋体" w:eastAsia="宋体" w:cs="宋体"/>
          <w:kern w:val="2"/>
          <w:szCs w:val="21"/>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80"/>
        <w:spacing w:line="500" w:lineRule="exact"/>
        <w:ind w:firstLine="600"/>
        <w:rPr>
          <w:rFonts w:hint="default" w:ascii="宋体" w:hAnsi="宋体" w:eastAsia="宋体" w:cs="宋体"/>
          <w:kern w:val="2"/>
          <w:szCs w:val="21"/>
          <w:highlight w:val="none"/>
        </w:rPr>
      </w:pPr>
      <w:r>
        <w:rPr>
          <w:rFonts w:ascii="宋体" w:hAnsi="宋体" w:eastAsia="宋体" w:cs="宋体"/>
          <w:kern w:val="2"/>
          <w:szCs w:val="21"/>
          <w:highlight w:val="none"/>
        </w:rPr>
        <w:t>本单位对上述声明的真实性负责。如有虚假，将依法承担相应责任。</w:t>
      </w:r>
    </w:p>
    <w:p>
      <w:pPr>
        <w:pStyle w:val="80"/>
        <w:spacing w:line="500" w:lineRule="exact"/>
        <w:rPr>
          <w:rFonts w:hint="default" w:ascii="宋体" w:hAnsi="宋体" w:eastAsia="宋体" w:cs="宋体"/>
          <w:spacing w:val="6"/>
          <w:szCs w:val="21"/>
          <w:highlight w:val="none"/>
        </w:rPr>
      </w:pPr>
    </w:p>
    <w:p>
      <w:pPr>
        <w:pStyle w:val="80"/>
        <w:spacing w:line="500" w:lineRule="exact"/>
        <w:ind w:right="1560" w:firstLine="600"/>
        <w:jc w:val="center"/>
        <w:rPr>
          <w:rFonts w:hint="default" w:ascii="宋体" w:hAnsi="宋体" w:eastAsia="宋体" w:cs="宋体"/>
          <w:kern w:val="2"/>
          <w:szCs w:val="21"/>
          <w:highlight w:val="none"/>
        </w:rPr>
      </w:pPr>
      <w:r>
        <w:rPr>
          <w:rFonts w:ascii="宋体" w:hAnsi="宋体" w:eastAsia="宋体" w:cs="宋体"/>
          <w:kern w:val="2"/>
          <w:szCs w:val="21"/>
          <w:highlight w:val="none"/>
        </w:rPr>
        <w:t>单位名称（盖章）：</w:t>
      </w:r>
    </w:p>
    <w:p>
      <w:pPr>
        <w:pStyle w:val="80"/>
        <w:spacing w:line="500" w:lineRule="exact"/>
        <w:ind w:right="1560" w:firstLine="600"/>
        <w:jc w:val="center"/>
        <w:rPr>
          <w:rFonts w:hint="default" w:ascii="宋体" w:hAnsi="宋体" w:eastAsia="宋体" w:cs="宋体"/>
          <w:kern w:val="2"/>
          <w:szCs w:val="21"/>
          <w:highlight w:val="none"/>
          <w:lang w:eastAsia="zh-CN"/>
        </w:rPr>
      </w:pPr>
      <w:r>
        <w:rPr>
          <w:rFonts w:ascii="宋体" w:hAnsi="宋体" w:eastAsia="宋体" w:cs="宋体"/>
          <w:kern w:val="2"/>
          <w:szCs w:val="21"/>
          <w:highlight w:val="none"/>
        </w:rPr>
        <w:t xml:space="preserve">       日  期：</w:t>
      </w:r>
    </w:p>
    <w:p>
      <w:pPr>
        <w:snapToGrid w:val="0"/>
        <w:spacing w:line="500" w:lineRule="exact"/>
        <w:jc w:val="center"/>
        <w:rPr>
          <w:rFonts w:hAnsi="宋体" w:cs="宋体"/>
          <w:sz w:val="21"/>
          <w:szCs w:val="21"/>
          <w:highlight w:val="none"/>
        </w:rPr>
      </w:pPr>
    </w:p>
    <w:p>
      <w:pPr>
        <w:snapToGrid w:val="0"/>
        <w:spacing w:line="500" w:lineRule="exact"/>
        <w:jc w:val="center"/>
        <w:rPr>
          <w:rFonts w:hAnsi="宋体" w:cs="宋体"/>
          <w:sz w:val="21"/>
          <w:szCs w:val="21"/>
          <w:highlight w:val="none"/>
        </w:rPr>
      </w:pPr>
    </w:p>
    <w:p>
      <w:pPr>
        <w:spacing w:line="440" w:lineRule="exact"/>
        <w:jc w:val="center"/>
        <w:rPr>
          <w:rFonts w:hAnsi="宋体" w:cs="宋体"/>
          <w:sz w:val="24"/>
          <w:szCs w:val="24"/>
          <w:highlight w:val="none"/>
        </w:rPr>
      </w:pPr>
      <w:r>
        <w:rPr>
          <w:rFonts w:hint="eastAsia" w:hAnsi="宋体" w:cs="宋体"/>
          <w:sz w:val="24"/>
          <w:szCs w:val="24"/>
          <w:highlight w:val="none"/>
        </w:rPr>
        <w:t>（3）监狱企业证明文件</w:t>
      </w:r>
    </w:p>
    <w:p>
      <w:pPr>
        <w:widowControl/>
        <w:snapToGrid w:val="0"/>
        <w:spacing w:line="500" w:lineRule="exact"/>
        <w:ind w:firstLine="420" w:firstLineChars="200"/>
        <w:rPr>
          <w:rFonts w:hAnsi="宋体" w:cs="宋体"/>
          <w:sz w:val="21"/>
          <w:szCs w:val="21"/>
          <w:highlight w:val="none"/>
        </w:rPr>
      </w:pPr>
    </w:p>
    <w:p>
      <w:pPr>
        <w:widowControl/>
        <w:snapToGrid w:val="0"/>
        <w:spacing w:line="500" w:lineRule="exact"/>
        <w:ind w:firstLine="420" w:firstLineChars="200"/>
        <w:rPr>
          <w:rFonts w:hAnsi="宋体" w:cs="宋体"/>
          <w:sz w:val="21"/>
          <w:szCs w:val="21"/>
          <w:highlight w:val="none"/>
        </w:rPr>
      </w:pPr>
      <w:r>
        <w:rPr>
          <w:rFonts w:hint="eastAsia" w:hAnsi="宋体" w:cs="宋体"/>
          <w:sz w:val="21"/>
          <w:szCs w:val="21"/>
          <w:highlight w:val="none"/>
        </w:rPr>
        <w:t>监狱企业参加政府采购活动时，应当提供由省级以上监狱管理局、戒毒管理局（含新疆生产建设兵团）出具的属于监狱企业的证明文件。</w:t>
      </w:r>
    </w:p>
    <w:bookmarkEnd w:id="52"/>
    <w:p>
      <w:pPr>
        <w:spacing w:line="458" w:lineRule="exact"/>
        <w:rPr>
          <w:rFonts w:hAnsi="宋体" w:cs="宋体"/>
          <w:sz w:val="21"/>
          <w:szCs w:val="21"/>
          <w:highlight w:val="none"/>
        </w:rPr>
      </w:pPr>
    </w:p>
    <w:p>
      <w:pPr>
        <w:rPr>
          <w:rFonts w:hAnsi="宋体" w:cs="宋体"/>
          <w:highlight w:val="none"/>
        </w:rPr>
      </w:pPr>
    </w:p>
    <w:sectPr>
      <w:footerReference r:id="rId10" w:type="first"/>
      <w:footerReference r:id="rId9" w:type="default"/>
      <w:pgSz w:w="11906" w:h="16838"/>
      <w:pgMar w:top="1440" w:right="1304" w:bottom="1440" w:left="1304" w:header="850" w:footer="567" w:gutter="0"/>
      <w:pgNumType w:start="1"/>
      <w:cols w:space="720" w:num="1"/>
      <w:docGrid w:type="lines"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w:altName w:val="Courier New"/>
    <w:panose1 w:val="02060409020205020404"/>
    <w:charset w:val="00"/>
    <w:family w:val="modern"/>
    <w:pitch w:val="default"/>
    <w:sig w:usb0="00000000" w:usb1="00000000" w:usb2="00000000" w:usb3="00000000" w:csb0="00000093"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Book Antiqua">
    <w:panose1 w:val="0204060205030503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汉仪仿宋简">
    <w:altName w:val="黑体"/>
    <w:panose1 w:val="00000000000000000000"/>
    <w:charset w:val="86"/>
    <w:family w:val="modern"/>
    <w:pitch w:val="default"/>
    <w:sig w:usb0="00000000" w:usb1="00000000" w:usb2="00000012" w:usb3="00000000" w:csb0="00040000" w:csb1="00000000"/>
  </w:font>
  <w:font w:name="Times">
    <w:altName w:val="Times New Roman"/>
    <w:panose1 w:val="02020603050405020304"/>
    <w:charset w:val="00"/>
    <w:family w:val="roman"/>
    <w:pitch w:val="default"/>
    <w:sig w:usb0="00000000" w:usb1="00000000" w:usb2="00000000" w:usb3="00000000" w:csb0="00000093" w:csb1="00000000"/>
  </w:font>
  <w:font w:name="PMingLiU">
    <w:altName w:val="PMingLiU-ExtB"/>
    <w:panose1 w:val="02020500000000000000"/>
    <w:charset w:val="88"/>
    <w:family w:val="auto"/>
    <w:pitch w:val="default"/>
    <w:sig w:usb0="00000000" w:usb1="00000000" w:usb2="00000016" w:usb3="00000000" w:csb0="00100001" w:csb1="00000000"/>
  </w:font>
  <w:font w:name="Trebuchet MS">
    <w:panose1 w:val="020B0603020202020204"/>
    <w:charset w:val="00"/>
    <w:family w:val="swiss"/>
    <w:pitch w:val="default"/>
    <w:sig w:usb0="000006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0"/>
      </w:rPr>
    </w:pPr>
    <w:r>
      <w:fldChar w:fldCharType="begin"/>
    </w:r>
    <w:r>
      <w:rPr>
        <w:rStyle w:val="50"/>
      </w:rPr>
      <w:instrText xml:space="preserve">PAGE  </w:instrText>
    </w:r>
    <w:r>
      <w:fldChar w:fldCharType="separate"/>
    </w:r>
    <w:r>
      <w:rPr>
        <w:rStyle w:val="50"/>
      </w:rPr>
      <w:t>12</w:t>
    </w:r>
    <w:r>
      <w:fldChar w:fldCharType="end"/>
    </w:r>
  </w:p>
  <w:p>
    <w:pPr>
      <w:pStyle w:val="33"/>
      <w:framePr w:w="607" w:h="430" w:hRule="exact" w:wrap="around" w:vAnchor="text" w:hAnchor="page" w:x="8905" w:y="-58"/>
      <w:ind w:right="360"/>
      <w:rPr>
        <w:rStyle w:val="50"/>
      </w:rPr>
    </w:pPr>
  </w:p>
  <w:p>
    <w:pPr>
      <w:pStyle w:val="33"/>
      <w:framePr w:wrap="around" w:vAnchor="text" w:hAnchor="page" w:x="15730" w:y="74"/>
      <w:ind w:right="360"/>
      <w:rPr>
        <w:rStyle w:val="50"/>
      </w:rPr>
    </w:pPr>
  </w:p>
  <w:p>
    <w:pPr>
      <w:pStyle w:val="3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0"/>
      </w:rPr>
    </w:pPr>
    <w:r>
      <w:fldChar w:fldCharType="begin"/>
    </w:r>
    <w:r>
      <w:rPr>
        <w:rStyle w:val="50"/>
      </w:rPr>
      <w:instrText xml:space="preserve">PAGE  </w:instrText>
    </w:r>
    <w:r>
      <w:fldChar w:fldCharType="separate"/>
    </w:r>
    <w:r>
      <w:rPr>
        <w:rStyle w:val="50"/>
      </w:rPr>
      <w:t>34</w:t>
    </w:r>
    <w:r>
      <w:fldChar w:fldCharType="end"/>
    </w:r>
  </w:p>
  <w:p>
    <w:pPr>
      <w:pStyle w:val="3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607" w:h="430" w:hRule="exact" w:wrap="around" w:vAnchor="text" w:hAnchor="page" w:x="8905" w:y="-58"/>
      <w:ind w:right="360"/>
      <w:rPr>
        <w:rStyle w:val="50"/>
      </w:rPr>
    </w:pPr>
  </w:p>
  <w:p>
    <w:pPr>
      <w:pStyle w:val="33"/>
      <w:framePr w:wrap="around" w:vAnchor="text" w:hAnchor="page" w:x="15730" w:y="74"/>
      <w:ind w:right="360"/>
      <w:rPr>
        <w:rStyle w:val="50"/>
      </w:rPr>
    </w:pPr>
  </w:p>
  <w:p>
    <w:pPr>
      <w:pStyle w:val="33"/>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0"/>
      </w:rPr>
    </w:pPr>
    <w:r>
      <w:fldChar w:fldCharType="begin"/>
    </w:r>
    <w:r>
      <w:rPr>
        <w:rStyle w:val="50"/>
      </w:rPr>
      <w:instrText xml:space="preserve">PAGE  </w:instrText>
    </w:r>
    <w:r>
      <w:fldChar w:fldCharType="separate"/>
    </w:r>
    <w:r>
      <w:rPr>
        <w:rStyle w:val="50"/>
      </w:rPr>
      <w:t>12</w:t>
    </w:r>
    <w:r>
      <w:fldChar w:fldCharType="end"/>
    </w:r>
  </w:p>
  <w:p>
    <w:pPr>
      <w:pStyle w:val="33"/>
      <w:framePr w:w="607" w:h="430" w:hRule="exact" w:wrap="around" w:vAnchor="text" w:hAnchor="page" w:x="8905" w:y="-58"/>
      <w:ind w:right="360"/>
      <w:rPr>
        <w:rStyle w:val="50"/>
      </w:rPr>
    </w:pPr>
  </w:p>
  <w:p>
    <w:pPr>
      <w:pStyle w:val="33"/>
      <w:framePr w:wrap="around" w:vAnchor="text" w:hAnchor="page" w:x="15730" w:y="74"/>
      <w:ind w:right="360"/>
      <w:rPr>
        <w:rStyle w:val="50"/>
      </w:rPr>
    </w:pPr>
  </w:p>
  <w:p>
    <w:pPr>
      <w:pStyle w:val="3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single" w:color="auto" w:sz="6" w:space="0"/>
      </w:pBdr>
      <w:rPr>
        <w:rFonts w:ascii="宋体" w:hAnsi="宋体" w:cs="宋体"/>
      </w:rPr>
    </w:pPr>
    <w:r>
      <w:rPr>
        <w:rFonts w:hint="eastAsia" w:ascii="宋体" w:hAnsi="宋体" w:cs="宋体"/>
      </w:rPr>
      <w:t>金华市天盈财务咨询有限公司</w:t>
    </w:r>
  </w:p>
  <w:p>
    <w:pPr>
      <w:pStyle w:val="34"/>
      <w:pBdr>
        <w:bottom w:val="single" w:color="auto" w:sz="6" w:space="0"/>
      </w:pBdr>
      <w:rPr>
        <w:rFonts w:ascii="宋体" w:hAnsi="宋体" w:cs="宋体"/>
      </w:rPr>
    </w:pPr>
    <w:r>
      <w:rPr>
        <w:rFonts w:hint="eastAsia" w:ascii="宋体" w:hAnsi="宋体" w:cs="宋体"/>
      </w:rPr>
      <w:t>项目编号：</w:t>
    </w:r>
    <w:r>
      <w:pict>
        <v:shape id="PowerPlusWaterMarkObject97623" o:spid="_x0000_s3074" o:spt="136" type="#_x0000_t136" style="position:absolute;left:0pt;height:53pt;width:604.35pt;mso-position-horizontal:center;mso-position-horizontal-relative:margin;mso-position-vertical:center;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金华市天盈财务咨询有限公司" style="font-family:新宋体;font-size:36pt;v-text-align:center;"/>
        </v:shape>
      </w:pict>
    </w:r>
    <w:r>
      <w:rPr>
        <w:rFonts w:hint="eastAsia" w:ascii="宋体" w:hAnsi="宋体" w:cs="宋体"/>
        <w:lang w:eastAsia="zh-CN"/>
      </w:rPr>
      <w:t>TY2022-FW342-ZFCG342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single" w:color="auto" w:sz="6" w:space="0"/>
      </w:pBdr>
      <w:rPr>
        <w:rFonts w:ascii="宋体" w:hAnsi="宋体" w:cs="宋体"/>
        <w:szCs w:val="18"/>
      </w:rPr>
    </w:pPr>
    <w:r>
      <w:rPr>
        <w:rFonts w:hint="eastAsia" w:ascii="宋体" w:hAnsi="宋体" w:cs="宋体"/>
        <w:szCs w:val="18"/>
      </w:rPr>
      <w:t>金华市天盈财务咨询有限公司</w:t>
    </w:r>
  </w:p>
  <w:p>
    <w:pPr>
      <w:pStyle w:val="34"/>
      <w:pBdr>
        <w:bottom w:val="single" w:color="auto" w:sz="6" w:space="0"/>
      </w:pBdr>
      <w:rPr>
        <w:rFonts w:hint="eastAsia" w:ascii="宋体" w:hAnsi="宋体" w:eastAsia="宋体" w:cs="宋体"/>
        <w:szCs w:val="18"/>
        <w:lang w:eastAsia="zh-CN"/>
      </w:rPr>
    </w:pPr>
    <w:r>
      <w:pict>
        <v:shape id="PowerPlusWaterMarkObject130177" o:spid="_x0000_s3073" o:spt="136" type="#_x0000_t136" style="position:absolute;left:0pt;height:53pt;width:604.35pt;mso-position-horizontal:center;mso-position-horizontal-relative:margin;mso-position-vertical:center;mso-position-vertical-relative:margin;rotation:-2949120f;z-index:-251656192;mso-width-relative:page;mso-height-relative:page;" fillcolor="#C0C0C0" filled="t" stroked="f" coordsize="21600,21600">
          <v:path/>
          <v:fill on="t" opacity="32768f" focussize="0,0"/>
          <v:stroke on="f"/>
          <v:imagedata o:title=""/>
          <o:lock v:ext="edit" aspectratio="t"/>
          <v:textpath on="t" fitshape="t" fitpath="t" trim="t" xscale="f" string="金华市天盈财务咨询有限公司" style="font-family:新宋体;font-size:36pt;v-text-align:center;"/>
        </v:shape>
      </w:pict>
    </w:r>
    <w:r>
      <w:rPr>
        <w:rFonts w:hint="eastAsia" w:ascii="宋体" w:hAnsi="宋体" w:cs="宋体"/>
        <w:szCs w:val="18"/>
      </w:rPr>
      <w:t>项目编号：</w:t>
    </w:r>
    <w:r>
      <w:rPr>
        <w:rFonts w:hint="eastAsia" w:ascii="宋体" w:hAnsi="宋体" w:cs="宋体"/>
        <w:szCs w:val="18"/>
        <w:lang w:eastAsia="zh-CN"/>
      </w:rPr>
      <w:t>TY2022-FW342-ZFCG342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C33C86"/>
    <w:multiLevelType w:val="singleLevel"/>
    <w:tmpl w:val="A2C33C86"/>
    <w:lvl w:ilvl="0" w:tentative="0">
      <w:start w:val="2"/>
      <w:numFmt w:val="decimal"/>
      <w:suff w:val="nothing"/>
      <w:lvlText w:val="（%1）"/>
      <w:lvlJc w:val="left"/>
    </w:lvl>
  </w:abstractNum>
  <w:abstractNum w:abstractNumId="1">
    <w:nsid w:val="B6F59396"/>
    <w:multiLevelType w:val="singleLevel"/>
    <w:tmpl w:val="B6F59396"/>
    <w:lvl w:ilvl="0" w:tentative="0">
      <w:start w:val="2"/>
      <w:numFmt w:val="chineseCounting"/>
      <w:suff w:val="nothing"/>
      <w:lvlText w:val="（%1）"/>
      <w:lvlJc w:val="left"/>
      <w:rPr>
        <w:rFonts w:hint="eastAsia"/>
      </w:rPr>
    </w:lvl>
  </w:abstractNum>
  <w:abstractNum w:abstractNumId="2">
    <w:nsid w:val="4B1E5889"/>
    <w:multiLevelType w:val="singleLevel"/>
    <w:tmpl w:val="4B1E5889"/>
    <w:lvl w:ilvl="0" w:tentative="0">
      <w:start w:val="5"/>
      <w:numFmt w:val="chineseCounting"/>
      <w:suff w:val="nothing"/>
      <w:lvlText w:val="%1、"/>
      <w:lvlJc w:val="left"/>
      <w:rPr>
        <w:rFonts w:hint="eastAsia"/>
      </w:rPr>
    </w:lvl>
  </w:abstractNum>
  <w:abstractNum w:abstractNumId="3">
    <w:nsid w:val="5A34E2AA"/>
    <w:multiLevelType w:val="multilevel"/>
    <w:tmpl w:val="5A34E2AA"/>
    <w:lvl w:ilvl="0" w:tentative="0">
      <w:start w:val="1"/>
      <w:numFmt w:val="decimal"/>
      <w:lvlText w:val="%1."/>
      <w:lvlJc w:val="left"/>
      <w:pPr>
        <w:tabs>
          <w:tab w:val="left" w:pos="0"/>
        </w:tabs>
        <w:ind w:left="562"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75390E2B"/>
    <w:multiLevelType w:val="singleLevel"/>
    <w:tmpl w:val="75390E2B"/>
    <w:lvl w:ilvl="0" w:tentative="0">
      <w:start w:val="1"/>
      <w:numFmt w:val="decimal"/>
      <w:lvlText w:val="(%1)"/>
      <w:lvlJc w:val="left"/>
      <w:pPr>
        <w:tabs>
          <w:tab w:val="left" w:pos="0"/>
        </w:tabs>
        <w:ind w:left="0" w:firstLine="0"/>
      </w:pPr>
      <w:rPr>
        <w:rFonts w:hint="default"/>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0"/>
  <w:drawingGridHorizontalSpacing w:val="170"/>
  <w:drawingGridVerticalSpacing w:val="317"/>
  <w:doNotShadeFormData w:val="1"/>
  <w:noPunctuationKerning w:val="1"/>
  <w:characterSpacingControl w:val="doNotCompress"/>
  <w:doNotValidateAgainstSchema/>
  <w:doNotDemarcateInvalidXml/>
  <w:hdrShapeDefaults>
    <o:shapelayout v:ext="edit">
      <o:idmap v:ext="edit" data="3"/>
    </o:shapelayout>
  </w:hdrShapeDefaults>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IxY2JhM2JjMzgwNjlhYmI0ZGQwYTQ4ZmNhYjRhZjYifQ=="/>
  </w:docVars>
  <w:rsids>
    <w:rsidRoot w:val="00172A27"/>
    <w:rsid w:val="000004A0"/>
    <w:rsid w:val="000005B4"/>
    <w:rsid w:val="00000D0C"/>
    <w:rsid w:val="0000215B"/>
    <w:rsid w:val="00003612"/>
    <w:rsid w:val="00003641"/>
    <w:rsid w:val="00003972"/>
    <w:rsid w:val="00004C9F"/>
    <w:rsid w:val="00005649"/>
    <w:rsid w:val="000059AC"/>
    <w:rsid w:val="00005F6F"/>
    <w:rsid w:val="000061FA"/>
    <w:rsid w:val="000075A6"/>
    <w:rsid w:val="00007727"/>
    <w:rsid w:val="00007AC9"/>
    <w:rsid w:val="00007DDF"/>
    <w:rsid w:val="00010215"/>
    <w:rsid w:val="0001098B"/>
    <w:rsid w:val="00010ADA"/>
    <w:rsid w:val="00010D0A"/>
    <w:rsid w:val="00011D51"/>
    <w:rsid w:val="00011F6E"/>
    <w:rsid w:val="000120A0"/>
    <w:rsid w:val="00012E6A"/>
    <w:rsid w:val="00013616"/>
    <w:rsid w:val="00014CF0"/>
    <w:rsid w:val="00014FC5"/>
    <w:rsid w:val="00015130"/>
    <w:rsid w:val="000154E5"/>
    <w:rsid w:val="000154F4"/>
    <w:rsid w:val="000157A4"/>
    <w:rsid w:val="000157C0"/>
    <w:rsid w:val="0001584B"/>
    <w:rsid w:val="00015F06"/>
    <w:rsid w:val="000162CB"/>
    <w:rsid w:val="000169DC"/>
    <w:rsid w:val="00016A63"/>
    <w:rsid w:val="00016E51"/>
    <w:rsid w:val="00017056"/>
    <w:rsid w:val="00017368"/>
    <w:rsid w:val="00017F1D"/>
    <w:rsid w:val="0002005F"/>
    <w:rsid w:val="00020F1F"/>
    <w:rsid w:val="00020F7A"/>
    <w:rsid w:val="00022040"/>
    <w:rsid w:val="0002306F"/>
    <w:rsid w:val="00023542"/>
    <w:rsid w:val="00023604"/>
    <w:rsid w:val="00023E43"/>
    <w:rsid w:val="00024041"/>
    <w:rsid w:val="0002467A"/>
    <w:rsid w:val="000246F6"/>
    <w:rsid w:val="0002556F"/>
    <w:rsid w:val="00025DC0"/>
    <w:rsid w:val="00026007"/>
    <w:rsid w:val="000263D5"/>
    <w:rsid w:val="0002723D"/>
    <w:rsid w:val="00027707"/>
    <w:rsid w:val="0002796A"/>
    <w:rsid w:val="00030709"/>
    <w:rsid w:val="00030EFD"/>
    <w:rsid w:val="00031156"/>
    <w:rsid w:val="0003137B"/>
    <w:rsid w:val="000326D8"/>
    <w:rsid w:val="000331C3"/>
    <w:rsid w:val="00033B08"/>
    <w:rsid w:val="00033BB6"/>
    <w:rsid w:val="00033CD2"/>
    <w:rsid w:val="00034324"/>
    <w:rsid w:val="00034538"/>
    <w:rsid w:val="00034E51"/>
    <w:rsid w:val="00035DE1"/>
    <w:rsid w:val="00035F7F"/>
    <w:rsid w:val="000362C9"/>
    <w:rsid w:val="00036453"/>
    <w:rsid w:val="000366E1"/>
    <w:rsid w:val="00036CD0"/>
    <w:rsid w:val="0003794F"/>
    <w:rsid w:val="000401AC"/>
    <w:rsid w:val="00040816"/>
    <w:rsid w:val="00040BC7"/>
    <w:rsid w:val="00041E17"/>
    <w:rsid w:val="000421E2"/>
    <w:rsid w:val="000423D3"/>
    <w:rsid w:val="00042AF4"/>
    <w:rsid w:val="000432B0"/>
    <w:rsid w:val="00043394"/>
    <w:rsid w:val="00043A00"/>
    <w:rsid w:val="00043B3E"/>
    <w:rsid w:val="00044039"/>
    <w:rsid w:val="00044112"/>
    <w:rsid w:val="00044604"/>
    <w:rsid w:val="00044A92"/>
    <w:rsid w:val="00044C4F"/>
    <w:rsid w:val="00045C7F"/>
    <w:rsid w:val="00045D2E"/>
    <w:rsid w:val="00045EBA"/>
    <w:rsid w:val="000461BC"/>
    <w:rsid w:val="00046BA4"/>
    <w:rsid w:val="00046F6F"/>
    <w:rsid w:val="00047580"/>
    <w:rsid w:val="00047EA0"/>
    <w:rsid w:val="00047EB5"/>
    <w:rsid w:val="0005009C"/>
    <w:rsid w:val="00050109"/>
    <w:rsid w:val="00050DE5"/>
    <w:rsid w:val="00051992"/>
    <w:rsid w:val="00051B47"/>
    <w:rsid w:val="00051B65"/>
    <w:rsid w:val="000520AA"/>
    <w:rsid w:val="00052146"/>
    <w:rsid w:val="00052762"/>
    <w:rsid w:val="00053022"/>
    <w:rsid w:val="0005441C"/>
    <w:rsid w:val="0005470F"/>
    <w:rsid w:val="000549C1"/>
    <w:rsid w:val="00055908"/>
    <w:rsid w:val="00056A25"/>
    <w:rsid w:val="00057798"/>
    <w:rsid w:val="00060E80"/>
    <w:rsid w:val="000618FC"/>
    <w:rsid w:val="00061F7E"/>
    <w:rsid w:val="00062846"/>
    <w:rsid w:val="00062EA2"/>
    <w:rsid w:val="00064659"/>
    <w:rsid w:val="00064778"/>
    <w:rsid w:val="000648C0"/>
    <w:rsid w:val="00064D0B"/>
    <w:rsid w:val="000650F7"/>
    <w:rsid w:val="0006534D"/>
    <w:rsid w:val="000656A6"/>
    <w:rsid w:val="000659A4"/>
    <w:rsid w:val="00065A01"/>
    <w:rsid w:val="00066644"/>
    <w:rsid w:val="00067359"/>
    <w:rsid w:val="000714A5"/>
    <w:rsid w:val="00071536"/>
    <w:rsid w:val="00071699"/>
    <w:rsid w:val="00072C30"/>
    <w:rsid w:val="0007310C"/>
    <w:rsid w:val="00073FBF"/>
    <w:rsid w:val="0007401A"/>
    <w:rsid w:val="00074656"/>
    <w:rsid w:val="0007487D"/>
    <w:rsid w:val="00074D42"/>
    <w:rsid w:val="0007518E"/>
    <w:rsid w:val="000751A5"/>
    <w:rsid w:val="00075466"/>
    <w:rsid w:val="000759E6"/>
    <w:rsid w:val="0007668B"/>
    <w:rsid w:val="000766FC"/>
    <w:rsid w:val="00076E22"/>
    <w:rsid w:val="000771C1"/>
    <w:rsid w:val="000771FF"/>
    <w:rsid w:val="00077C54"/>
    <w:rsid w:val="00080AC4"/>
    <w:rsid w:val="00080BA2"/>
    <w:rsid w:val="00081468"/>
    <w:rsid w:val="00081AEA"/>
    <w:rsid w:val="000820F9"/>
    <w:rsid w:val="0008256E"/>
    <w:rsid w:val="000831A4"/>
    <w:rsid w:val="00083A5C"/>
    <w:rsid w:val="00083D53"/>
    <w:rsid w:val="00084027"/>
    <w:rsid w:val="000841D4"/>
    <w:rsid w:val="000841D8"/>
    <w:rsid w:val="00084868"/>
    <w:rsid w:val="00084BFB"/>
    <w:rsid w:val="00084DB0"/>
    <w:rsid w:val="0008552A"/>
    <w:rsid w:val="00085DDC"/>
    <w:rsid w:val="000870A4"/>
    <w:rsid w:val="0008751A"/>
    <w:rsid w:val="000877F3"/>
    <w:rsid w:val="00090170"/>
    <w:rsid w:val="00090267"/>
    <w:rsid w:val="00090B81"/>
    <w:rsid w:val="0009217A"/>
    <w:rsid w:val="00092836"/>
    <w:rsid w:val="00092A18"/>
    <w:rsid w:val="00092AC7"/>
    <w:rsid w:val="00093399"/>
    <w:rsid w:val="00093A21"/>
    <w:rsid w:val="00093A8C"/>
    <w:rsid w:val="0009429E"/>
    <w:rsid w:val="00094888"/>
    <w:rsid w:val="00095C70"/>
    <w:rsid w:val="00095D49"/>
    <w:rsid w:val="00096534"/>
    <w:rsid w:val="000A0043"/>
    <w:rsid w:val="000A07B9"/>
    <w:rsid w:val="000A0B64"/>
    <w:rsid w:val="000A16EC"/>
    <w:rsid w:val="000A31C7"/>
    <w:rsid w:val="000A3D80"/>
    <w:rsid w:val="000A4EC7"/>
    <w:rsid w:val="000A5339"/>
    <w:rsid w:val="000A5724"/>
    <w:rsid w:val="000A57FA"/>
    <w:rsid w:val="000A5A85"/>
    <w:rsid w:val="000A6055"/>
    <w:rsid w:val="000A65B7"/>
    <w:rsid w:val="000A681F"/>
    <w:rsid w:val="000A6C41"/>
    <w:rsid w:val="000A6C75"/>
    <w:rsid w:val="000A7C5C"/>
    <w:rsid w:val="000B0172"/>
    <w:rsid w:val="000B0297"/>
    <w:rsid w:val="000B11ED"/>
    <w:rsid w:val="000B169A"/>
    <w:rsid w:val="000B19D1"/>
    <w:rsid w:val="000B2C16"/>
    <w:rsid w:val="000B3383"/>
    <w:rsid w:val="000B3604"/>
    <w:rsid w:val="000B397F"/>
    <w:rsid w:val="000B4013"/>
    <w:rsid w:val="000B411D"/>
    <w:rsid w:val="000B45CC"/>
    <w:rsid w:val="000B4EFE"/>
    <w:rsid w:val="000B5B13"/>
    <w:rsid w:val="000B5E63"/>
    <w:rsid w:val="000B61F7"/>
    <w:rsid w:val="000B630D"/>
    <w:rsid w:val="000B67FF"/>
    <w:rsid w:val="000B7FD5"/>
    <w:rsid w:val="000C0301"/>
    <w:rsid w:val="000C0631"/>
    <w:rsid w:val="000C0BFE"/>
    <w:rsid w:val="000C0EB7"/>
    <w:rsid w:val="000C1588"/>
    <w:rsid w:val="000C15E4"/>
    <w:rsid w:val="000C2471"/>
    <w:rsid w:val="000C24D0"/>
    <w:rsid w:val="000C279A"/>
    <w:rsid w:val="000C2E06"/>
    <w:rsid w:val="000C3055"/>
    <w:rsid w:val="000C4116"/>
    <w:rsid w:val="000C41A0"/>
    <w:rsid w:val="000C4702"/>
    <w:rsid w:val="000C49C2"/>
    <w:rsid w:val="000C5323"/>
    <w:rsid w:val="000C55F2"/>
    <w:rsid w:val="000C58BF"/>
    <w:rsid w:val="000C58D1"/>
    <w:rsid w:val="000C5D53"/>
    <w:rsid w:val="000C6415"/>
    <w:rsid w:val="000C6467"/>
    <w:rsid w:val="000C760C"/>
    <w:rsid w:val="000D02C5"/>
    <w:rsid w:val="000D10AB"/>
    <w:rsid w:val="000D118C"/>
    <w:rsid w:val="000D1794"/>
    <w:rsid w:val="000D2BFC"/>
    <w:rsid w:val="000D2E18"/>
    <w:rsid w:val="000D39F3"/>
    <w:rsid w:val="000D3B9C"/>
    <w:rsid w:val="000D44F3"/>
    <w:rsid w:val="000D46DA"/>
    <w:rsid w:val="000D4890"/>
    <w:rsid w:val="000D4899"/>
    <w:rsid w:val="000D4965"/>
    <w:rsid w:val="000D499A"/>
    <w:rsid w:val="000D4A17"/>
    <w:rsid w:val="000D4E9B"/>
    <w:rsid w:val="000D57FD"/>
    <w:rsid w:val="000D60A5"/>
    <w:rsid w:val="000D65D3"/>
    <w:rsid w:val="000D6688"/>
    <w:rsid w:val="000D6DFB"/>
    <w:rsid w:val="000D6F12"/>
    <w:rsid w:val="000D760C"/>
    <w:rsid w:val="000E1F10"/>
    <w:rsid w:val="000E2601"/>
    <w:rsid w:val="000E2F08"/>
    <w:rsid w:val="000E3268"/>
    <w:rsid w:val="000E3507"/>
    <w:rsid w:val="000E397B"/>
    <w:rsid w:val="000E3C64"/>
    <w:rsid w:val="000E4907"/>
    <w:rsid w:val="000E52C2"/>
    <w:rsid w:val="000E696B"/>
    <w:rsid w:val="000E6A3C"/>
    <w:rsid w:val="000E6C8F"/>
    <w:rsid w:val="000E6D26"/>
    <w:rsid w:val="000E6FDF"/>
    <w:rsid w:val="000E6FFA"/>
    <w:rsid w:val="000E79F2"/>
    <w:rsid w:val="000E7C0A"/>
    <w:rsid w:val="000F0DCE"/>
    <w:rsid w:val="000F18BB"/>
    <w:rsid w:val="000F18C1"/>
    <w:rsid w:val="000F1AEE"/>
    <w:rsid w:val="000F1DE2"/>
    <w:rsid w:val="000F228B"/>
    <w:rsid w:val="000F2B0C"/>
    <w:rsid w:val="000F2DE7"/>
    <w:rsid w:val="000F38F8"/>
    <w:rsid w:val="000F47B8"/>
    <w:rsid w:val="000F4929"/>
    <w:rsid w:val="000F537E"/>
    <w:rsid w:val="000F53EE"/>
    <w:rsid w:val="000F57DF"/>
    <w:rsid w:val="000F5F58"/>
    <w:rsid w:val="000F641D"/>
    <w:rsid w:val="000F6F5C"/>
    <w:rsid w:val="000F76F6"/>
    <w:rsid w:val="00100808"/>
    <w:rsid w:val="0010167C"/>
    <w:rsid w:val="0010174C"/>
    <w:rsid w:val="00101B07"/>
    <w:rsid w:val="00101EBA"/>
    <w:rsid w:val="00102572"/>
    <w:rsid w:val="00102B24"/>
    <w:rsid w:val="00102E06"/>
    <w:rsid w:val="00102E18"/>
    <w:rsid w:val="00103266"/>
    <w:rsid w:val="00103381"/>
    <w:rsid w:val="001040D8"/>
    <w:rsid w:val="001041AD"/>
    <w:rsid w:val="00104582"/>
    <w:rsid w:val="00104AD6"/>
    <w:rsid w:val="00105197"/>
    <w:rsid w:val="00105439"/>
    <w:rsid w:val="001054AB"/>
    <w:rsid w:val="00105DF6"/>
    <w:rsid w:val="00106C3C"/>
    <w:rsid w:val="00106DE3"/>
    <w:rsid w:val="00106E1F"/>
    <w:rsid w:val="0010717D"/>
    <w:rsid w:val="001073D1"/>
    <w:rsid w:val="00107482"/>
    <w:rsid w:val="00107BE5"/>
    <w:rsid w:val="00107BEB"/>
    <w:rsid w:val="00110057"/>
    <w:rsid w:val="00110305"/>
    <w:rsid w:val="001112EA"/>
    <w:rsid w:val="00111670"/>
    <w:rsid w:val="00111990"/>
    <w:rsid w:val="00111ABC"/>
    <w:rsid w:val="001125CC"/>
    <w:rsid w:val="0011338B"/>
    <w:rsid w:val="0011339C"/>
    <w:rsid w:val="00113825"/>
    <w:rsid w:val="001147E8"/>
    <w:rsid w:val="00114D14"/>
    <w:rsid w:val="00115E0B"/>
    <w:rsid w:val="00120511"/>
    <w:rsid w:val="00120721"/>
    <w:rsid w:val="00120BB2"/>
    <w:rsid w:val="00120D30"/>
    <w:rsid w:val="00120F6F"/>
    <w:rsid w:val="001212CB"/>
    <w:rsid w:val="00121612"/>
    <w:rsid w:val="00121A55"/>
    <w:rsid w:val="00121F4E"/>
    <w:rsid w:val="001220B1"/>
    <w:rsid w:val="00122B21"/>
    <w:rsid w:val="00122E43"/>
    <w:rsid w:val="00122EF4"/>
    <w:rsid w:val="00123580"/>
    <w:rsid w:val="001243E3"/>
    <w:rsid w:val="00124770"/>
    <w:rsid w:val="00124B45"/>
    <w:rsid w:val="00125738"/>
    <w:rsid w:val="00125F1F"/>
    <w:rsid w:val="00125FA8"/>
    <w:rsid w:val="001267D8"/>
    <w:rsid w:val="001313DA"/>
    <w:rsid w:val="00131A88"/>
    <w:rsid w:val="00131B57"/>
    <w:rsid w:val="00131E90"/>
    <w:rsid w:val="0013232F"/>
    <w:rsid w:val="001325B3"/>
    <w:rsid w:val="00132EAC"/>
    <w:rsid w:val="00133646"/>
    <w:rsid w:val="00133ADF"/>
    <w:rsid w:val="00134537"/>
    <w:rsid w:val="001349BA"/>
    <w:rsid w:val="00134E70"/>
    <w:rsid w:val="00134FB5"/>
    <w:rsid w:val="00135C72"/>
    <w:rsid w:val="00136733"/>
    <w:rsid w:val="0013748E"/>
    <w:rsid w:val="00137BA3"/>
    <w:rsid w:val="00137DB4"/>
    <w:rsid w:val="001409B8"/>
    <w:rsid w:val="00140BDB"/>
    <w:rsid w:val="00141125"/>
    <w:rsid w:val="00141417"/>
    <w:rsid w:val="0014187D"/>
    <w:rsid w:val="001418E2"/>
    <w:rsid w:val="001425F4"/>
    <w:rsid w:val="00142613"/>
    <w:rsid w:val="00142760"/>
    <w:rsid w:val="00143758"/>
    <w:rsid w:val="00143AF4"/>
    <w:rsid w:val="00143BC2"/>
    <w:rsid w:val="00143D37"/>
    <w:rsid w:val="00144091"/>
    <w:rsid w:val="00144E17"/>
    <w:rsid w:val="00144F43"/>
    <w:rsid w:val="00146179"/>
    <w:rsid w:val="001464C8"/>
    <w:rsid w:val="00146699"/>
    <w:rsid w:val="00146A2C"/>
    <w:rsid w:val="00146ACF"/>
    <w:rsid w:val="00146DC4"/>
    <w:rsid w:val="00147A6D"/>
    <w:rsid w:val="00150A43"/>
    <w:rsid w:val="0015194D"/>
    <w:rsid w:val="001527A2"/>
    <w:rsid w:val="001531B2"/>
    <w:rsid w:val="0015397C"/>
    <w:rsid w:val="00154D03"/>
    <w:rsid w:val="0015519E"/>
    <w:rsid w:val="00155977"/>
    <w:rsid w:val="00155F34"/>
    <w:rsid w:val="00156425"/>
    <w:rsid w:val="001565E4"/>
    <w:rsid w:val="00156C6C"/>
    <w:rsid w:val="00156FF2"/>
    <w:rsid w:val="001570C7"/>
    <w:rsid w:val="00157A19"/>
    <w:rsid w:val="00157F7F"/>
    <w:rsid w:val="00157F93"/>
    <w:rsid w:val="001602DE"/>
    <w:rsid w:val="00160681"/>
    <w:rsid w:val="00160B0D"/>
    <w:rsid w:val="00160B64"/>
    <w:rsid w:val="00161D42"/>
    <w:rsid w:val="0016229E"/>
    <w:rsid w:val="0016247F"/>
    <w:rsid w:val="0016304F"/>
    <w:rsid w:val="00163838"/>
    <w:rsid w:val="00163EB4"/>
    <w:rsid w:val="00164559"/>
    <w:rsid w:val="00164C3F"/>
    <w:rsid w:val="00164CD2"/>
    <w:rsid w:val="00165B58"/>
    <w:rsid w:val="00166B7D"/>
    <w:rsid w:val="00166DEF"/>
    <w:rsid w:val="001700AD"/>
    <w:rsid w:val="001727B0"/>
    <w:rsid w:val="0017286B"/>
    <w:rsid w:val="00172A27"/>
    <w:rsid w:val="00173546"/>
    <w:rsid w:val="00173F5B"/>
    <w:rsid w:val="0017432D"/>
    <w:rsid w:val="00174489"/>
    <w:rsid w:val="0017571A"/>
    <w:rsid w:val="00176066"/>
    <w:rsid w:val="00176A60"/>
    <w:rsid w:val="00176CF5"/>
    <w:rsid w:val="00176F1C"/>
    <w:rsid w:val="00177166"/>
    <w:rsid w:val="001778F0"/>
    <w:rsid w:val="00177990"/>
    <w:rsid w:val="00177BD1"/>
    <w:rsid w:val="00180D44"/>
    <w:rsid w:val="00180E0C"/>
    <w:rsid w:val="00181794"/>
    <w:rsid w:val="00181F10"/>
    <w:rsid w:val="00181F41"/>
    <w:rsid w:val="00182677"/>
    <w:rsid w:val="001836DF"/>
    <w:rsid w:val="00183D08"/>
    <w:rsid w:val="00183ECA"/>
    <w:rsid w:val="00184E79"/>
    <w:rsid w:val="001851B0"/>
    <w:rsid w:val="001853E7"/>
    <w:rsid w:val="001856C3"/>
    <w:rsid w:val="00185795"/>
    <w:rsid w:val="00186C7C"/>
    <w:rsid w:val="00187912"/>
    <w:rsid w:val="00190005"/>
    <w:rsid w:val="00190385"/>
    <w:rsid w:val="00190665"/>
    <w:rsid w:val="0019090F"/>
    <w:rsid w:val="00190B6B"/>
    <w:rsid w:val="00191016"/>
    <w:rsid w:val="0019110F"/>
    <w:rsid w:val="00191230"/>
    <w:rsid w:val="00191605"/>
    <w:rsid w:val="00192795"/>
    <w:rsid w:val="00192AB6"/>
    <w:rsid w:val="00193401"/>
    <w:rsid w:val="00193898"/>
    <w:rsid w:val="00193E34"/>
    <w:rsid w:val="00194FE5"/>
    <w:rsid w:val="00195996"/>
    <w:rsid w:val="001971E2"/>
    <w:rsid w:val="001978E6"/>
    <w:rsid w:val="00197A2D"/>
    <w:rsid w:val="00197E65"/>
    <w:rsid w:val="001A0ABA"/>
    <w:rsid w:val="001A1244"/>
    <w:rsid w:val="001A1CBB"/>
    <w:rsid w:val="001A22D0"/>
    <w:rsid w:val="001A23B6"/>
    <w:rsid w:val="001A2EF3"/>
    <w:rsid w:val="001A2F0E"/>
    <w:rsid w:val="001A2F35"/>
    <w:rsid w:val="001A3564"/>
    <w:rsid w:val="001A36C2"/>
    <w:rsid w:val="001A39CE"/>
    <w:rsid w:val="001A4250"/>
    <w:rsid w:val="001A4923"/>
    <w:rsid w:val="001A4A2E"/>
    <w:rsid w:val="001A5138"/>
    <w:rsid w:val="001A518D"/>
    <w:rsid w:val="001A582C"/>
    <w:rsid w:val="001A59E6"/>
    <w:rsid w:val="001A5AF9"/>
    <w:rsid w:val="001A5B8F"/>
    <w:rsid w:val="001A5C63"/>
    <w:rsid w:val="001A66B8"/>
    <w:rsid w:val="001A723A"/>
    <w:rsid w:val="001A7390"/>
    <w:rsid w:val="001A77F5"/>
    <w:rsid w:val="001A79C4"/>
    <w:rsid w:val="001B06F3"/>
    <w:rsid w:val="001B0C39"/>
    <w:rsid w:val="001B1D19"/>
    <w:rsid w:val="001B2237"/>
    <w:rsid w:val="001B254F"/>
    <w:rsid w:val="001B311A"/>
    <w:rsid w:val="001B31B5"/>
    <w:rsid w:val="001B33E8"/>
    <w:rsid w:val="001B3509"/>
    <w:rsid w:val="001B3EC8"/>
    <w:rsid w:val="001B4BCB"/>
    <w:rsid w:val="001B4BD0"/>
    <w:rsid w:val="001B52D3"/>
    <w:rsid w:val="001B5651"/>
    <w:rsid w:val="001B565A"/>
    <w:rsid w:val="001B63D8"/>
    <w:rsid w:val="001B6448"/>
    <w:rsid w:val="001B6684"/>
    <w:rsid w:val="001C1169"/>
    <w:rsid w:val="001C1556"/>
    <w:rsid w:val="001C1716"/>
    <w:rsid w:val="001C17B5"/>
    <w:rsid w:val="001C1E01"/>
    <w:rsid w:val="001C3A02"/>
    <w:rsid w:val="001C41C6"/>
    <w:rsid w:val="001C5007"/>
    <w:rsid w:val="001C518D"/>
    <w:rsid w:val="001C5341"/>
    <w:rsid w:val="001C5550"/>
    <w:rsid w:val="001C576A"/>
    <w:rsid w:val="001C58AE"/>
    <w:rsid w:val="001C5997"/>
    <w:rsid w:val="001C5C1B"/>
    <w:rsid w:val="001C5DA9"/>
    <w:rsid w:val="001C5F11"/>
    <w:rsid w:val="001C6EAF"/>
    <w:rsid w:val="001C758B"/>
    <w:rsid w:val="001C7DC0"/>
    <w:rsid w:val="001C7E4C"/>
    <w:rsid w:val="001D0389"/>
    <w:rsid w:val="001D2174"/>
    <w:rsid w:val="001D3EC4"/>
    <w:rsid w:val="001D47A3"/>
    <w:rsid w:val="001D5753"/>
    <w:rsid w:val="001D64BB"/>
    <w:rsid w:val="001D6529"/>
    <w:rsid w:val="001D675E"/>
    <w:rsid w:val="001D6E9B"/>
    <w:rsid w:val="001D70DB"/>
    <w:rsid w:val="001D7C5D"/>
    <w:rsid w:val="001D7D78"/>
    <w:rsid w:val="001E1FD0"/>
    <w:rsid w:val="001E2657"/>
    <w:rsid w:val="001E3B88"/>
    <w:rsid w:val="001E4529"/>
    <w:rsid w:val="001E72FD"/>
    <w:rsid w:val="001E73C8"/>
    <w:rsid w:val="001F045B"/>
    <w:rsid w:val="001F0D7C"/>
    <w:rsid w:val="001F1241"/>
    <w:rsid w:val="001F1E22"/>
    <w:rsid w:val="001F2428"/>
    <w:rsid w:val="001F2A69"/>
    <w:rsid w:val="001F3953"/>
    <w:rsid w:val="001F3BC3"/>
    <w:rsid w:val="001F43BC"/>
    <w:rsid w:val="001F444D"/>
    <w:rsid w:val="001F44A5"/>
    <w:rsid w:val="001F5433"/>
    <w:rsid w:val="001F5B9D"/>
    <w:rsid w:val="001F5EC6"/>
    <w:rsid w:val="001F6383"/>
    <w:rsid w:val="001F64BC"/>
    <w:rsid w:val="001F6D82"/>
    <w:rsid w:val="001F6E77"/>
    <w:rsid w:val="001F7464"/>
    <w:rsid w:val="001F785A"/>
    <w:rsid w:val="001F78BC"/>
    <w:rsid w:val="001F7996"/>
    <w:rsid w:val="001F7C30"/>
    <w:rsid w:val="00200CEE"/>
    <w:rsid w:val="00202603"/>
    <w:rsid w:val="00202682"/>
    <w:rsid w:val="002027A3"/>
    <w:rsid w:val="00202C9F"/>
    <w:rsid w:val="00202D3F"/>
    <w:rsid w:val="0020317A"/>
    <w:rsid w:val="0020347B"/>
    <w:rsid w:val="00203685"/>
    <w:rsid w:val="00204F86"/>
    <w:rsid w:val="0020558D"/>
    <w:rsid w:val="00205856"/>
    <w:rsid w:val="00205BF3"/>
    <w:rsid w:val="00206442"/>
    <w:rsid w:val="00206C03"/>
    <w:rsid w:val="00206F02"/>
    <w:rsid w:val="00206F72"/>
    <w:rsid w:val="0020760D"/>
    <w:rsid w:val="0020764E"/>
    <w:rsid w:val="00207692"/>
    <w:rsid w:val="00207865"/>
    <w:rsid w:val="002079C7"/>
    <w:rsid w:val="002103BE"/>
    <w:rsid w:val="002110A6"/>
    <w:rsid w:val="00211874"/>
    <w:rsid w:val="00211DAF"/>
    <w:rsid w:val="00212C52"/>
    <w:rsid w:val="00212E83"/>
    <w:rsid w:val="00213C69"/>
    <w:rsid w:val="00213D8D"/>
    <w:rsid w:val="00213EFB"/>
    <w:rsid w:val="002149F8"/>
    <w:rsid w:val="00214A06"/>
    <w:rsid w:val="00214B45"/>
    <w:rsid w:val="002152FC"/>
    <w:rsid w:val="002156E2"/>
    <w:rsid w:val="00215857"/>
    <w:rsid w:val="002161D5"/>
    <w:rsid w:val="00216456"/>
    <w:rsid w:val="0021710C"/>
    <w:rsid w:val="00217129"/>
    <w:rsid w:val="00217373"/>
    <w:rsid w:val="00217B7E"/>
    <w:rsid w:val="00217C68"/>
    <w:rsid w:val="002201EB"/>
    <w:rsid w:val="002206E7"/>
    <w:rsid w:val="00221F90"/>
    <w:rsid w:val="00223274"/>
    <w:rsid w:val="002233A2"/>
    <w:rsid w:val="00223718"/>
    <w:rsid w:val="00223FAD"/>
    <w:rsid w:val="0022422A"/>
    <w:rsid w:val="002246A9"/>
    <w:rsid w:val="002254B3"/>
    <w:rsid w:val="00225948"/>
    <w:rsid w:val="00226055"/>
    <w:rsid w:val="002262F3"/>
    <w:rsid w:val="0022662B"/>
    <w:rsid w:val="0022752D"/>
    <w:rsid w:val="002275EA"/>
    <w:rsid w:val="00230119"/>
    <w:rsid w:val="00231B94"/>
    <w:rsid w:val="002323B9"/>
    <w:rsid w:val="00232672"/>
    <w:rsid w:val="00233493"/>
    <w:rsid w:val="00233D0B"/>
    <w:rsid w:val="00233D90"/>
    <w:rsid w:val="00234957"/>
    <w:rsid w:val="002352A4"/>
    <w:rsid w:val="002354AB"/>
    <w:rsid w:val="00235595"/>
    <w:rsid w:val="00235639"/>
    <w:rsid w:val="00236111"/>
    <w:rsid w:val="00237933"/>
    <w:rsid w:val="002379DB"/>
    <w:rsid w:val="002404A5"/>
    <w:rsid w:val="002418C6"/>
    <w:rsid w:val="00241ECB"/>
    <w:rsid w:val="002420F5"/>
    <w:rsid w:val="002421FD"/>
    <w:rsid w:val="0024277E"/>
    <w:rsid w:val="00243070"/>
    <w:rsid w:val="002431E0"/>
    <w:rsid w:val="002433D2"/>
    <w:rsid w:val="002433D3"/>
    <w:rsid w:val="0024349E"/>
    <w:rsid w:val="00243814"/>
    <w:rsid w:val="00243D88"/>
    <w:rsid w:val="0024449D"/>
    <w:rsid w:val="00244841"/>
    <w:rsid w:val="00244F64"/>
    <w:rsid w:val="00245010"/>
    <w:rsid w:val="0024544E"/>
    <w:rsid w:val="002456FE"/>
    <w:rsid w:val="0024673A"/>
    <w:rsid w:val="00246747"/>
    <w:rsid w:val="002472C2"/>
    <w:rsid w:val="002478B2"/>
    <w:rsid w:val="00247B2C"/>
    <w:rsid w:val="002502ED"/>
    <w:rsid w:val="00251745"/>
    <w:rsid w:val="002519A7"/>
    <w:rsid w:val="00251D70"/>
    <w:rsid w:val="00251F32"/>
    <w:rsid w:val="00252795"/>
    <w:rsid w:val="00252AA2"/>
    <w:rsid w:val="00252E76"/>
    <w:rsid w:val="002533AB"/>
    <w:rsid w:val="00253947"/>
    <w:rsid w:val="00253975"/>
    <w:rsid w:val="00253AC2"/>
    <w:rsid w:val="00253CE4"/>
    <w:rsid w:val="00254C35"/>
    <w:rsid w:val="0025500C"/>
    <w:rsid w:val="002551A0"/>
    <w:rsid w:val="00255ABA"/>
    <w:rsid w:val="00255E72"/>
    <w:rsid w:val="00256BD4"/>
    <w:rsid w:val="00257111"/>
    <w:rsid w:val="00257AB6"/>
    <w:rsid w:val="00257B2C"/>
    <w:rsid w:val="00257E53"/>
    <w:rsid w:val="00260FE6"/>
    <w:rsid w:val="002613C9"/>
    <w:rsid w:val="00261905"/>
    <w:rsid w:val="00261F61"/>
    <w:rsid w:val="00262221"/>
    <w:rsid w:val="0026251B"/>
    <w:rsid w:val="002629B7"/>
    <w:rsid w:val="0026327D"/>
    <w:rsid w:val="00263608"/>
    <w:rsid w:val="00263B0A"/>
    <w:rsid w:val="00263D51"/>
    <w:rsid w:val="002641AE"/>
    <w:rsid w:val="0026465A"/>
    <w:rsid w:val="00264A0E"/>
    <w:rsid w:val="00264B7E"/>
    <w:rsid w:val="00265B4F"/>
    <w:rsid w:val="00265ECA"/>
    <w:rsid w:val="00266B48"/>
    <w:rsid w:val="00266C18"/>
    <w:rsid w:val="00266C93"/>
    <w:rsid w:val="00267076"/>
    <w:rsid w:val="002673D9"/>
    <w:rsid w:val="00267424"/>
    <w:rsid w:val="00267AA4"/>
    <w:rsid w:val="00267E20"/>
    <w:rsid w:val="00270057"/>
    <w:rsid w:val="0027098C"/>
    <w:rsid w:val="00270DE2"/>
    <w:rsid w:val="00271200"/>
    <w:rsid w:val="00271653"/>
    <w:rsid w:val="0027259F"/>
    <w:rsid w:val="002727D0"/>
    <w:rsid w:val="00272B46"/>
    <w:rsid w:val="00272DC8"/>
    <w:rsid w:val="00272F6E"/>
    <w:rsid w:val="00273F6B"/>
    <w:rsid w:val="00273F90"/>
    <w:rsid w:val="00274517"/>
    <w:rsid w:val="00274960"/>
    <w:rsid w:val="00274CC9"/>
    <w:rsid w:val="00275018"/>
    <w:rsid w:val="002751CA"/>
    <w:rsid w:val="0027524B"/>
    <w:rsid w:val="00275257"/>
    <w:rsid w:val="00275589"/>
    <w:rsid w:val="00275A03"/>
    <w:rsid w:val="0027654B"/>
    <w:rsid w:val="00277373"/>
    <w:rsid w:val="00281179"/>
    <w:rsid w:val="0028168C"/>
    <w:rsid w:val="002819B0"/>
    <w:rsid w:val="00282768"/>
    <w:rsid w:val="002830B3"/>
    <w:rsid w:val="00283BCF"/>
    <w:rsid w:val="00284094"/>
    <w:rsid w:val="00284A81"/>
    <w:rsid w:val="00284FAC"/>
    <w:rsid w:val="00285230"/>
    <w:rsid w:val="00285A2F"/>
    <w:rsid w:val="00285E44"/>
    <w:rsid w:val="00286139"/>
    <w:rsid w:val="00286189"/>
    <w:rsid w:val="00286E44"/>
    <w:rsid w:val="0028721A"/>
    <w:rsid w:val="002875BA"/>
    <w:rsid w:val="002876A6"/>
    <w:rsid w:val="0028779D"/>
    <w:rsid w:val="002900E5"/>
    <w:rsid w:val="00290C94"/>
    <w:rsid w:val="0029123D"/>
    <w:rsid w:val="0029170E"/>
    <w:rsid w:val="002917E2"/>
    <w:rsid w:val="00291E47"/>
    <w:rsid w:val="002937F7"/>
    <w:rsid w:val="00293C9B"/>
    <w:rsid w:val="002959FB"/>
    <w:rsid w:val="00295C22"/>
    <w:rsid w:val="00295DEB"/>
    <w:rsid w:val="00295E58"/>
    <w:rsid w:val="00295EA3"/>
    <w:rsid w:val="0029619E"/>
    <w:rsid w:val="00296934"/>
    <w:rsid w:val="002971D1"/>
    <w:rsid w:val="00297AC7"/>
    <w:rsid w:val="00297F82"/>
    <w:rsid w:val="002A0849"/>
    <w:rsid w:val="002A12A0"/>
    <w:rsid w:val="002A18ED"/>
    <w:rsid w:val="002A2EE4"/>
    <w:rsid w:val="002A2F3B"/>
    <w:rsid w:val="002A3614"/>
    <w:rsid w:val="002A364D"/>
    <w:rsid w:val="002A376F"/>
    <w:rsid w:val="002A3C87"/>
    <w:rsid w:val="002A49C7"/>
    <w:rsid w:val="002A4A54"/>
    <w:rsid w:val="002A546F"/>
    <w:rsid w:val="002A58FB"/>
    <w:rsid w:val="002A5D7C"/>
    <w:rsid w:val="002A6D63"/>
    <w:rsid w:val="002A6E16"/>
    <w:rsid w:val="002A70E8"/>
    <w:rsid w:val="002A741A"/>
    <w:rsid w:val="002A7874"/>
    <w:rsid w:val="002B0828"/>
    <w:rsid w:val="002B085F"/>
    <w:rsid w:val="002B1154"/>
    <w:rsid w:val="002B2238"/>
    <w:rsid w:val="002B2244"/>
    <w:rsid w:val="002B2AB0"/>
    <w:rsid w:val="002B2C06"/>
    <w:rsid w:val="002B2CE1"/>
    <w:rsid w:val="002B2F68"/>
    <w:rsid w:val="002B3342"/>
    <w:rsid w:val="002B4271"/>
    <w:rsid w:val="002B4A20"/>
    <w:rsid w:val="002B5A41"/>
    <w:rsid w:val="002B7432"/>
    <w:rsid w:val="002B7FF7"/>
    <w:rsid w:val="002C0342"/>
    <w:rsid w:val="002C0896"/>
    <w:rsid w:val="002C1124"/>
    <w:rsid w:val="002C1B6E"/>
    <w:rsid w:val="002C1BCB"/>
    <w:rsid w:val="002C2579"/>
    <w:rsid w:val="002C2B8D"/>
    <w:rsid w:val="002C31BA"/>
    <w:rsid w:val="002C3426"/>
    <w:rsid w:val="002C35E6"/>
    <w:rsid w:val="002C3B80"/>
    <w:rsid w:val="002C44FD"/>
    <w:rsid w:val="002C4688"/>
    <w:rsid w:val="002C4EFB"/>
    <w:rsid w:val="002C51CD"/>
    <w:rsid w:val="002C521B"/>
    <w:rsid w:val="002C5450"/>
    <w:rsid w:val="002C557A"/>
    <w:rsid w:val="002C5DAD"/>
    <w:rsid w:val="002C612A"/>
    <w:rsid w:val="002C6404"/>
    <w:rsid w:val="002C653C"/>
    <w:rsid w:val="002C7007"/>
    <w:rsid w:val="002C7E2A"/>
    <w:rsid w:val="002D0C00"/>
    <w:rsid w:val="002D0E75"/>
    <w:rsid w:val="002D0EB8"/>
    <w:rsid w:val="002D113B"/>
    <w:rsid w:val="002D1187"/>
    <w:rsid w:val="002D137B"/>
    <w:rsid w:val="002D1E41"/>
    <w:rsid w:val="002D1FCD"/>
    <w:rsid w:val="002D218B"/>
    <w:rsid w:val="002D287C"/>
    <w:rsid w:val="002D2ADE"/>
    <w:rsid w:val="002D2D36"/>
    <w:rsid w:val="002D2EFB"/>
    <w:rsid w:val="002D308A"/>
    <w:rsid w:val="002D30BA"/>
    <w:rsid w:val="002D35C7"/>
    <w:rsid w:val="002D37D9"/>
    <w:rsid w:val="002D39A4"/>
    <w:rsid w:val="002D42BF"/>
    <w:rsid w:val="002D45D6"/>
    <w:rsid w:val="002D462F"/>
    <w:rsid w:val="002D472D"/>
    <w:rsid w:val="002D4BB7"/>
    <w:rsid w:val="002D4E6F"/>
    <w:rsid w:val="002D5250"/>
    <w:rsid w:val="002D5565"/>
    <w:rsid w:val="002D59B1"/>
    <w:rsid w:val="002D5BFF"/>
    <w:rsid w:val="002D602D"/>
    <w:rsid w:val="002D7E99"/>
    <w:rsid w:val="002E0427"/>
    <w:rsid w:val="002E10C4"/>
    <w:rsid w:val="002E1809"/>
    <w:rsid w:val="002E22CB"/>
    <w:rsid w:val="002E2FC5"/>
    <w:rsid w:val="002E311A"/>
    <w:rsid w:val="002E31B9"/>
    <w:rsid w:val="002E3412"/>
    <w:rsid w:val="002E3B63"/>
    <w:rsid w:val="002E3DC2"/>
    <w:rsid w:val="002E3F8D"/>
    <w:rsid w:val="002E40D8"/>
    <w:rsid w:val="002E48D5"/>
    <w:rsid w:val="002E50E4"/>
    <w:rsid w:val="002E58F7"/>
    <w:rsid w:val="002E6497"/>
    <w:rsid w:val="002E6521"/>
    <w:rsid w:val="002E6D25"/>
    <w:rsid w:val="002E6DAF"/>
    <w:rsid w:val="002E6E03"/>
    <w:rsid w:val="002E6EC0"/>
    <w:rsid w:val="002E70F4"/>
    <w:rsid w:val="002E73EA"/>
    <w:rsid w:val="002E74ED"/>
    <w:rsid w:val="002F0271"/>
    <w:rsid w:val="002F0DD3"/>
    <w:rsid w:val="002F0EC9"/>
    <w:rsid w:val="002F0F22"/>
    <w:rsid w:val="002F119F"/>
    <w:rsid w:val="002F127D"/>
    <w:rsid w:val="002F12F2"/>
    <w:rsid w:val="002F13EC"/>
    <w:rsid w:val="002F19E2"/>
    <w:rsid w:val="002F2049"/>
    <w:rsid w:val="002F211F"/>
    <w:rsid w:val="002F23B5"/>
    <w:rsid w:val="002F249E"/>
    <w:rsid w:val="002F2E3B"/>
    <w:rsid w:val="002F3079"/>
    <w:rsid w:val="002F31E6"/>
    <w:rsid w:val="002F324D"/>
    <w:rsid w:val="002F3843"/>
    <w:rsid w:val="002F41D3"/>
    <w:rsid w:val="002F637A"/>
    <w:rsid w:val="002F720F"/>
    <w:rsid w:val="002F7382"/>
    <w:rsid w:val="002F7B03"/>
    <w:rsid w:val="003006D5"/>
    <w:rsid w:val="00300E94"/>
    <w:rsid w:val="00301586"/>
    <w:rsid w:val="00302215"/>
    <w:rsid w:val="00302AFD"/>
    <w:rsid w:val="00302BF4"/>
    <w:rsid w:val="003036AD"/>
    <w:rsid w:val="0030428F"/>
    <w:rsid w:val="00304572"/>
    <w:rsid w:val="0030509A"/>
    <w:rsid w:val="00305629"/>
    <w:rsid w:val="00305A04"/>
    <w:rsid w:val="00305ADC"/>
    <w:rsid w:val="00306046"/>
    <w:rsid w:val="003060F3"/>
    <w:rsid w:val="0030660B"/>
    <w:rsid w:val="00307996"/>
    <w:rsid w:val="0030799F"/>
    <w:rsid w:val="00310CFB"/>
    <w:rsid w:val="00310D5B"/>
    <w:rsid w:val="00310DA1"/>
    <w:rsid w:val="00311289"/>
    <w:rsid w:val="003112C3"/>
    <w:rsid w:val="0031145F"/>
    <w:rsid w:val="00311ADD"/>
    <w:rsid w:val="0031308F"/>
    <w:rsid w:val="00313415"/>
    <w:rsid w:val="00313A71"/>
    <w:rsid w:val="00313AFE"/>
    <w:rsid w:val="00313FD6"/>
    <w:rsid w:val="00314265"/>
    <w:rsid w:val="003149D0"/>
    <w:rsid w:val="00314E8A"/>
    <w:rsid w:val="00315588"/>
    <w:rsid w:val="00315F9A"/>
    <w:rsid w:val="003161CF"/>
    <w:rsid w:val="003166D4"/>
    <w:rsid w:val="0031706E"/>
    <w:rsid w:val="00317D9E"/>
    <w:rsid w:val="00317EBF"/>
    <w:rsid w:val="00320395"/>
    <w:rsid w:val="00320B22"/>
    <w:rsid w:val="003211FA"/>
    <w:rsid w:val="0032191E"/>
    <w:rsid w:val="003227D6"/>
    <w:rsid w:val="00323C1A"/>
    <w:rsid w:val="00323CAC"/>
    <w:rsid w:val="00323EDC"/>
    <w:rsid w:val="00324062"/>
    <w:rsid w:val="00324FD1"/>
    <w:rsid w:val="0032606A"/>
    <w:rsid w:val="0032622C"/>
    <w:rsid w:val="0032664E"/>
    <w:rsid w:val="003267EC"/>
    <w:rsid w:val="00326A80"/>
    <w:rsid w:val="0032729D"/>
    <w:rsid w:val="0032787E"/>
    <w:rsid w:val="00330DAD"/>
    <w:rsid w:val="00331676"/>
    <w:rsid w:val="0033171F"/>
    <w:rsid w:val="003326E2"/>
    <w:rsid w:val="00332BE8"/>
    <w:rsid w:val="00333279"/>
    <w:rsid w:val="00333579"/>
    <w:rsid w:val="003352DC"/>
    <w:rsid w:val="003358EA"/>
    <w:rsid w:val="00335E6D"/>
    <w:rsid w:val="00335F20"/>
    <w:rsid w:val="00336112"/>
    <w:rsid w:val="0033622E"/>
    <w:rsid w:val="00336248"/>
    <w:rsid w:val="003362A4"/>
    <w:rsid w:val="003369AC"/>
    <w:rsid w:val="00336A16"/>
    <w:rsid w:val="0033759D"/>
    <w:rsid w:val="003414D2"/>
    <w:rsid w:val="003428B8"/>
    <w:rsid w:val="00342A93"/>
    <w:rsid w:val="00343CF1"/>
    <w:rsid w:val="00344986"/>
    <w:rsid w:val="00344C32"/>
    <w:rsid w:val="0034517B"/>
    <w:rsid w:val="003451B9"/>
    <w:rsid w:val="003455FE"/>
    <w:rsid w:val="00345C0C"/>
    <w:rsid w:val="00346B98"/>
    <w:rsid w:val="003477B3"/>
    <w:rsid w:val="003500E1"/>
    <w:rsid w:val="003501DA"/>
    <w:rsid w:val="0035070B"/>
    <w:rsid w:val="00350858"/>
    <w:rsid w:val="00350945"/>
    <w:rsid w:val="00350949"/>
    <w:rsid w:val="00350A22"/>
    <w:rsid w:val="00350D75"/>
    <w:rsid w:val="00350F64"/>
    <w:rsid w:val="003512EC"/>
    <w:rsid w:val="00351805"/>
    <w:rsid w:val="003522E8"/>
    <w:rsid w:val="00352F27"/>
    <w:rsid w:val="00353751"/>
    <w:rsid w:val="00353827"/>
    <w:rsid w:val="00353D86"/>
    <w:rsid w:val="00354851"/>
    <w:rsid w:val="00354AE7"/>
    <w:rsid w:val="00354CE9"/>
    <w:rsid w:val="00355772"/>
    <w:rsid w:val="00355D1F"/>
    <w:rsid w:val="00355F85"/>
    <w:rsid w:val="0035652A"/>
    <w:rsid w:val="00356756"/>
    <w:rsid w:val="00356C98"/>
    <w:rsid w:val="00356F65"/>
    <w:rsid w:val="00357B6F"/>
    <w:rsid w:val="0036055B"/>
    <w:rsid w:val="00360DBB"/>
    <w:rsid w:val="003613A3"/>
    <w:rsid w:val="00361414"/>
    <w:rsid w:val="003616AE"/>
    <w:rsid w:val="0036188F"/>
    <w:rsid w:val="003618A3"/>
    <w:rsid w:val="00361D13"/>
    <w:rsid w:val="00363589"/>
    <w:rsid w:val="003636B6"/>
    <w:rsid w:val="00365000"/>
    <w:rsid w:val="0036534A"/>
    <w:rsid w:val="003653A7"/>
    <w:rsid w:val="0036613B"/>
    <w:rsid w:val="00366904"/>
    <w:rsid w:val="00366EB6"/>
    <w:rsid w:val="003672F4"/>
    <w:rsid w:val="00367BA7"/>
    <w:rsid w:val="00370383"/>
    <w:rsid w:val="00370400"/>
    <w:rsid w:val="00370C6F"/>
    <w:rsid w:val="00370CB1"/>
    <w:rsid w:val="00371545"/>
    <w:rsid w:val="00371711"/>
    <w:rsid w:val="00371BBF"/>
    <w:rsid w:val="00371C72"/>
    <w:rsid w:val="00371CB2"/>
    <w:rsid w:val="0037212D"/>
    <w:rsid w:val="00372265"/>
    <w:rsid w:val="0037228D"/>
    <w:rsid w:val="003722CE"/>
    <w:rsid w:val="00372908"/>
    <w:rsid w:val="00373630"/>
    <w:rsid w:val="00373B9A"/>
    <w:rsid w:val="00373F45"/>
    <w:rsid w:val="003741C3"/>
    <w:rsid w:val="003756F7"/>
    <w:rsid w:val="003763C0"/>
    <w:rsid w:val="00376C34"/>
    <w:rsid w:val="00376FD4"/>
    <w:rsid w:val="00377BCA"/>
    <w:rsid w:val="00380202"/>
    <w:rsid w:val="00380900"/>
    <w:rsid w:val="00381001"/>
    <w:rsid w:val="00381026"/>
    <w:rsid w:val="00381459"/>
    <w:rsid w:val="00381481"/>
    <w:rsid w:val="00381641"/>
    <w:rsid w:val="0038197A"/>
    <w:rsid w:val="00382800"/>
    <w:rsid w:val="00383884"/>
    <w:rsid w:val="00384125"/>
    <w:rsid w:val="0038434C"/>
    <w:rsid w:val="00384839"/>
    <w:rsid w:val="00386125"/>
    <w:rsid w:val="0038670C"/>
    <w:rsid w:val="003908DF"/>
    <w:rsid w:val="00392469"/>
    <w:rsid w:val="003924F4"/>
    <w:rsid w:val="003929A6"/>
    <w:rsid w:val="00392D0A"/>
    <w:rsid w:val="0039432F"/>
    <w:rsid w:val="0039471F"/>
    <w:rsid w:val="00394CD6"/>
    <w:rsid w:val="00395A20"/>
    <w:rsid w:val="00397A26"/>
    <w:rsid w:val="003A1085"/>
    <w:rsid w:val="003A1348"/>
    <w:rsid w:val="003A1CB0"/>
    <w:rsid w:val="003A24D1"/>
    <w:rsid w:val="003A2A3F"/>
    <w:rsid w:val="003A318F"/>
    <w:rsid w:val="003A347A"/>
    <w:rsid w:val="003A3E80"/>
    <w:rsid w:val="003A406A"/>
    <w:rsid w:val="003A45CE"/>
    <w:rsid w:val="003A496E"/>
    <w:rsid w:val="003A4EE5"/>
    <w:rsid w:val="003A50AF"/>
    <w:rsid w:val="003A5E72"/>
    <w:rsid w:val="003A60A1"/>
    <w:rsid w:val="003A6D06"/>
    <w:rsid w:val="003A6D56"/>
    <w:rsid w:val="003A6FC3"/>
    <w:rsid w:val="003A7025"/>
    <w:rsid w:val="003A7496"/>
    <w:rsid w:val="003B0505"/>
    <w:rsid w:val="003B0678"/>
    <w:rsid w:val="003B10CB"/>
    <w:rsid w:val="003B1143"/>
    <w:rsid w:val="003B1354"/>
    <w:rsid w:val="003B13DD"/>
    <w:rsid w:val="003B1407"/>
    <w:rsid w:val="003B1891"/>
    <w:rsid w:val="003B1EEC"/>
    <w:rsid w:val="003B28EF"/>
    <w:rsid w:val="003B32DC"/>
    <w:rsid w:val="003B34D5"/>
    <w:rsid w:val="003B4295"/>
    <w:rsid w:val="003B4E4D"/>
    <w:rsid w:val="003B639C"/>
    <w:rsid w:val="003B77D1"/>
    <w:rsid w:val="003C0360"/>
    <w:rsid w:val="003C0A07"/>
    <w:rsid w:val="003C1380"/>
    <w:rsid w:val="003C16AB"/>
    <w:rsid w:val="003C18F4"/>
    <w:rsid w:val="003C21C4"/>
    <w:rsid w:val="003C2348"/>
    <w:rsid w:val="003C296D"/>
    <w:rsid w:val="003C2BD2"/>
    <w:rsid w:val="003C350A"/>
    <w:rsid w:val="003C36E7"/>
    <w:rsid w:val="003C42CE"/>
    <w:rsid w:val="003C4317"/>
    <w:rsid w:val="003C4D16"/>
    <w:rsid w:val="003C68F3"/>
    <w:rsid w:val="003C7F23"/>
    <w:rsid w:val="003D085B"/>
    <w:rsid w:val="003D08B5"/>
    <w:rsid w:val="003D0C23"/>
    <w:rsid w:val="003D100E"/>
    <w:rsid w:val="003D168A"/>
    <w:rsid w:val="003D17BB"/>
    <w:rsid w:val="003D1B10"/>
    <w:rsid w:val="003D230B"/>
    <w:rsid w:val="003D231E"/>
    <w:rsid w:val="003D2B4A"/>
    <w:rsid w:val="003D4630"/>
    <w:rsid w:val="003D49BF"/>
    <w:rsid w:val="003D51C5"/>
    <w:rsid w:val="003D52A2"/>
    <w:rsid w:val="003D5F9D"/>
    <w:rsid w:val="003D6063"/>
    <w:rsid w:val="003D61C9"/>
    <w:rsid w:val="003D686B"/>
    <w:rsid w:val="003D6DF0"/>
    <w:rsid w:val="003D71D1"/>
    <w:rsid w:val="003D758B"/>
    <w:rsid w:val="003D768B"/>
    <w:rsid w:val="003E00B1"/>
    <w:rsid w:val="003E01EC"/>
    <w:rsid w:val="003E052E"/>
    <w:rsid w:val="003E064B"/>
    <w:rsid w:val="003E15B6"/>
    <w:rsid w:val="003E3418"/>
    <w:rsid w:val="003E3A96"/>
    <w:rsid w:val="003E3C86"/>
    <w:rsid w:val="003E4158"/>
    <w:rsid w:val="003E4353"/>
    <w:rsid w:val="003E474B"/>
    <w:rsid w:val="003E6540"/>
    <w:rsid w:val="003E664A"/>
    <w:rsid w:val="003E68ED"/>
    <w:rsid w:val="003E74F2"/>
    <w:rsid w:val="003E7546"/>
    <w:rsid w:val="003E7D5E"/>
    <w:rsid w:val="003F03E4"/>
    <w:rsid w:val="003F0809"/>
    <w:rsid w:val="003F0D4D"/>
    <w:rsid w:val="003F1465"/>
    <w:rsid w:val="003F1466"/>
    <w:rsid w:val="003F1A1E"/>
    <w:rsid w:val="003F2DA4"/>
    <w:rsid w:val="003F44D1"/>
    <w:rsid w:val="003F4CFE"/>
    <w:rsid w:val="003F54D4"/>
    <w:rsid w:val="003F59E6"/>
    <w:rsid w:val="003F6E99"/>
    <w:rsid w:val="003F70A2"/>
    <w:rsid w:val="003F70C9"/>
    <w:rsid w:val="003F7386"/>
    <w:rsid w:val="003F7AB4"/>
    <w:rsid w:val="004001B5"/>
    <w:rsid w:val="00400731"/>
    <w:rsid w:val="004008FD"/>
    <w:rsid w:val="00400B50"/>
    <w:rsid w:val="0040107C"/>
    <w:rsid w:val="00401680"/>
    <w:rsid w:val="00401965"/>
    <w:rsid w:val="004020F7"/>
    <w:rsid w:val="004024A3"/>
    <w:rsid w:val="0040254B"/>
    <w:rsid w:val="0040255F"/>
    <w:rsid w:val="004026A4"/>
    <w:rsid w:val="00403017"/>
    <w:rsid w:val="004032F6"/>
    <w:rsid w:val="004036B4"/>
    <w:rsid w:val="0040375E"/>
    <w:rsid w:val="004048FD"/>
    <w:rsid w:val="00404BDA"/>
    <w:rsid w:val="00404DA7"/>
    <w:rsid w:val="00405392"/>
    <w:rsid w:val="004062EB"/>
    <w:rsid w:val="004064D5"/>
    <w:rsid w:val="0040691B"/>
    <w:rsid w:val="00407645"/>
    <w:rsid w:val="00407DEC"/>
    <w:rsid w:val="00410D44"/>
    <w:rsid w:val="00410F21"/>
    <w:rsid w:val="0041166F"/>
    <w:rsid w:val="00411ED7"/>
    <w:rsid w:val="00411FE6"/>
    <w:rsid w:val="00412015"/>
    <w:rsid w:val="0041268D"/>
    <w:rsid w:val="004130C6"/>
    <w:rsid w:val="0041312F"/>
    <w:rsid w:val="00414CE8"/>
    <w:rsid w:val="00415AC8"/>
    <w:rsid w:val="00416281"/>
    <w:rsid w:val="004167D9"/>
    <w:rsid w:val="00416856"/>
    <w:rsid w:val="00417285"/>
    <w:rsid w:val="00417E20"/>
    <w:rsid w:val="0042011D"/>
    <w:rsid w:val="0042046C"/>
    <w:rsid w:val="00420685"/>
    <w:rsid w:val="004207AD"/>
    <w:rsid w:val="00421273"/>
    <w:rsid w:val="0042132E"/>
    <w:rsid w:val="0042217E"/>
    <w:rsid w:val="00422254"/>
    <w:rsid w:val="004223A9"/>
    <w:rsid w:val="0042252D"/>
    <w:rsid w:val="00422E88"/>
    <w:rsid w:val="00423161"/>
    <w:rsid w:val="0042425B"/>
    <w:rsid w:val="0042484D"/>
    <w:rsid w:val="00424B8A"/>
    <w:rsid w:val="00424C21"/>
    <w:rsid w:val="004255CB"/>
    <w:rsid w:val="00425ADC"/>
    <w:rsid w:val="00425E2B"/>
    <w:rsid w:val="00426AD8"/>
    <w:rsid w:val="00426BAB"/>
    <w:rsid w:val="00426C8B"/>
    <w:rsid w:val="00426E6D"/>
    <w:rsid w:val="00427708"/>
    <w:rsid w:val="00427DD4"/>
    <w:rsid w:val="004305B7"/>
    <w:rsid w:val="00430D23"/>
    <w:rsid w:val="00430D2E"/>
    <w:rsid w:val="0043104B"/>
    <w:rsid w:val="00431B3E"/>
    <w:rsid w:val="004326F8"/>
    <w:rsid w:val="0043291D"/>
    <w:rsid w:val="004333E9"/>
    <w:rsid w:val="0043368C"/>
    <w:rsid w:val="0043371F"/>
    <w:rsid w:val="00433922"/>
    <w:rsid w:val="00433D7B"/>
    <w:rsid w:val="00433F9B"/>
    <w:rsid w:val="00434072"/>
    <w:rsid w:val="004340B0"/>
    <w:rsid w:val="00434A69"/>
    <w:rsid w:val="0043531F"/>
    <w:rsid w:val="00435AC9"/>
    <w:rsid w:val="004377F3"/>
    <w:rsid w:val="004406EF"/>
    <w:rsid w:val="004407D3"/>
    <w:rsid w:val="004407F1"/>
    <w:rsid w:val="00440B9E"/>
    <w:rsid w:val="00442200"/>
    <w:rsid w:val="00442E84"/>
    <w:rsid w:val="004443FF"/>
    <w:rsid w:val="00444C11"/>
    <w:rsid w:val="0044551F"/>
    <w:rsid w:val="0044559E"/>
    <w:rsid w:val="004456F4"/>
    <w:rsid w:val="00446D95"/>
    <w:rsid w:val="0044733C"/>
    <w:rsid w:val="00447369"/>
    <w:rsid w:val="00447C4C"/>
    <w:rsid w:val="00450312"/>
    <w:rsid w:val="0045073B"/>
    <w:rsid w:val="004507F5"/>
    <w:rsid w:val="00450FFE"/>
    <w:rsid w:val="00451CA2"/>
    <w:rsid w:val="0045214B"/>
    <w:rsid w:val="00452C04"/>
    <w:rsid w:val="00452E17"/>
    <w:rsid w:val="00452F85"/>
    <w:rsid w:val="004533F9"/>
    <w:rsid w:val="00453A1C"/>
    <w:rsid w:val="00453ADE"/>
    <w:rsid w:val="004541D7"/>
    <w:rsid w:val="0045562B"/>
    <w:rsid w:val="00455B3E"/>
    <w:rsid w:val="00455CB0"/>
    <w:rsid w:val="0045614A"/>
    <w:rsid w:val="0045655E"/>
    <w:rsid w:val="00456C9E"/>
    <w:rsid w:val="00457F21"/>
    <w:rsid w:val="00460182"/>
    <w:rsid w:val="004601BC"/>
    <w:rsid w:val="004619DA"/>
    <w:rsid w:val="00461B29"/>
    <w:rsid w:val="00461D56"/>
    <w:rsid w:val="00462220"/>
    <w:rsid w:val="004622C9"/>
    <w:rsid w:val="004622D1"/>
    <w:rsid w:val="0046268F"/>
    <w:rsid w:val="004628C0"/>
    <w:rsid w:val="00463602"/>
    <w:rsid w:val="00464B25"/>
    <w:rsid w:val="00464B79"/>
    <w:rsid w:val="004650DB"/>
    <w:rsid w:val="00465175"/>
    <w:rsid w:val="0046611E"/>
    <w:rsid w:val="00466280"/>
    <w:rsid w:val="00466F89"/>
    <w:rsid w:val="004671F9"/>
    <w:rsid w:val="0047028F"/>
    <w:rsid w:val="00470D65"/>
    <w:rsid w:val="00471206"/>
    <w:rsid w:val="00471C99"/>
    <w:rsid w:val="00472240"/>
    <w:rsid w:val="00472850"/>
    <w:rsid w:val="004746F1"/>
    <w:rsid w:val="0047498C"/>
    <w:rsid w:val="00474EBE"/>
    <w:rsid w:val="00474F3D"/>
    <w:rsid w:val="00475126"/>
    <w:rsid w:val="0047655C"/>
    <w:rsid w:val="004765C3"/>
    <w:rsid w:val="00476618"/>
    <w:rsid w:val="00476BD4"/>
    <w:rsid w:val="00477187"/>
    <w:rsid w:val="004775A3"/>
    <w:rsid w:val="00477955"/>
    <w:rsid w:val="00477B0D"/>
    <w:rsid w:val="00477B6A"/>
    <w:rsid w:val="00480384"/>
    <w:rsid w:val="00481535"/>
    <w:rsid w:val="004818B3"/>
    <w:rsid w:val="00482861"/>
    <w:rsid w:val="0048292D"/>
    <w:rsid w:val="00483BB3"/>
    <w:rsid w:val="00483FB0"/>
    <w:rsid w:val="00485041"/>
    <w:rsid w:val="0048565A"/>
    <w:rsid w:val="004858F0"/>
    <w:rsid w:val="00485BE9"/>
    <w:rsid w:val="00485C7F"/>
    <w:rsid w:val="004866B0"/>
    <w:rsid w:val="00486A96"/>
    <w:rsid w:val="00486B2F"/>
    <w:rsid w:val="00486CDE"/>
    <w:rsid w:val="00486CF8"/>
    <w:rsid w:val="0048747C"/>
    <w:rsid w:val="0048759E"/>
    <w:rsid w:val="00487605"/>
    <w:rsid w:val="0048773E"/>
    <w:rsid w:val="00487921"/>
    <w:rsid w:val="00487A23"/>
    <w:rsid w:val="00487DBF"/>
    <w:rsid w:val="0049105B"/>
    <w:rsid w:val="00491B59"/>
    <w:rsid w:val="00491B9E"/>
    <w:rsid w:val="0049200B"/>
    <w:rsid w:val="004934D7"/>
    <w:rsid w:val="00493ECE"/>
    <w:rsid w:val="00493F18"/>
    <w:rsid w:val="004943F5"/>
    <w:rsid w:val="0049493F"/>
    <w:rsid w:val="00494A98"/>
    <w:rsid w:val="00494CF9"/>
    <w:rsid w:val="0049523A"/>
    <w:rsid w:val="00495C97"/>
    <w:rsid w:val="00495F4F"/>
    <w:rsid w:val="004960DA"/>
    <w:rsid w:val="0049634E"/>
    <w:rsid w:val="00496427"/>
    <w:rsid w:val="0049653F"/>
    <w:rsid w:val="004967F8"/>
    <w:rsid w:val="00496982"/>
    <w:rsid w:val="00497006"/>
    <w:rsid w:val="004970EA"/>
    <w:rsid w:val="004A0339"/>
    <w:rsid w:val="004A0ECF"/>
    <w:rsid w:val="004A127B"/>
    <w:rsid w:val="004A1AE8"/>
    <w:rsid w:val="004A1D34"/>
    <w:rsid w:val="004A1DAA"/>
    <w:rsid w:val="004A1EFF"/>
    <w:rsid w:val="004A26A6"/>
    <w:rsid w:val="004A26B8"/>
    <w:rsid w:val="004A3823"/>
    <w:rsid w:val="004A4241"/>
    <w:rsid w:val="004A5243"/>
    <w:rsid w:val="004A579C"/>
    <w:rsid w:val="004A743E"/>
    <w:rsid w:val="004A75B2"/>
    <w:rsid w:val="004A78DB"/>
    <w:rsid w:val="004A79BC"/>
    <w:rsid w:val="004A7DA4"/>
    <w:rsid w:val="004A7F1E"/>
    <w:rsid w:val="004A7F8E"/>
    <w:rsid w:val="004B00BA"/>
    <w:rsid w:val="004B0D36"/>
    <w:rsid w:val="004B268C"/>
    <w:rsid w:val="004B2E48"/>
    <w:rsid w:val="004B37B0"/>
    <w:rsid w:val="004B3A71"/>
    <w:rsid w:val="004B41A8"/>
    <w:rsid w:val="004B4B50"/>
    <w:rsid w:val="004B574A"/>
    <w:rsid w:val="004B601E"/>
    <w:rsid w:val="004B61AC"/>
    <w:rsid w:val="004B65A3"/>
    <w:rsid w:val="004B6850"/>
    <w:rsid w:val="004B7137"/>
    <w:rsid w:val="004B7638"/>
    <w:rsid w:val="004B7C50"/>
    <w:rsid w:val="004C0799"/>
    <w:rsid w:val="004C154A"/>
    <w:rsid w:val="004C1FC6"/>
    <w:rsid w:val="004C2041"/>
    <w:rsid w:val="004C2643"/>
    <w:rsid w:val="004C2F0A"/>
    <w:rsid w:val="004C2F45"/>
    <w:rsid w:val="004C3338"/>
    <w:rsid w:val="004C47D9"/>
    <w:rsid w:val="004C490D"/>
    <w:rsid w:val="004C5009"/>
    <w:rsid w:val="004C5DE3"/>
    <w:rsid w:val="004C6509"/>
    <w:rsid w:val="004C6D0E"/>
    <w:rsid w:val="004C75C8"/>
    <w:rsid w:val="004C7D0D"/>
    <w:rsid w:val="004C7D14"/>
    <w:rsid w:val="004C7DA9"/>
    <w:rsid w:val="004D0D55"/>
    <w:rsid w:val="004D0EC7"/>
    <w:rsid w:val="004D0F62"/>
    <w:rsid w:val="004D2502"/>
    <w:rsid w:val="004D2ACE"/>
    <w:rsid w:val="004D2AEC"/>
    <w:rsid w:val="004D2BEA"/>
    <w:rsid w:val="004D2CDB"/>
    <w:rsid w:val="004D2F15"/>
    <w:rsid w:val="004D3F7A"/>
    <w:rsid w:val="004D436D"/>
    <w:rsid w:val="004D47A8"/>
    <w:rsid w:val="004D4D70"/>
    <w:rsid w:val="004D5B21"/>
    <w:rsid w:val="004D5BDA"/>
    <w:rsid w:val="004D628E"/>
    <w:rsid w:val="004D682A"/>
    <w:rsid w:val="004D69E8"/>
    <w:rsid w:val="004D6B8A"/>
    <w:rsid w:val="004D7085"/>
    <w:rsid w:val="004D731E"/>
    <w:rsid w:val="004E0431"/>
    <w:rsid w:val="004E0B4A"/>
    <w:rsid w:val="004E105E"/>
    <w:rsid w:val="004E116B"/>
    <w:rsid w:val="004E21EC"/>
    <w:rsid w:val="004E2333"/>
    <w:rsid w:val="004E25EE"/>
    <w:rsid w:val="004E3724"/>
    <w:rsid w:val="004E3811"/>
    <w:rsid w:val="004E3F53"/>
    <w:rsid w:val="004E4191"/>
    <w:rsid w:val="004E4351"/>
    <w:rsid w:val="004E43AA"/>
    <w:rsid w:val="004E4608"/>
    <w:rsid w:val="004E49C9"/>
    <w:rsid w:val="004E49FD"/>
    <w:rsid w:val="004E4E50"/>
    <w:rsid w:val="004E650F"/>
    <w:rsid w:val="004E7408"/>
    <w:rsid w:val="004E7B5F"/>
    <w:rsid w:val="004F0413"/>
    <w:rsid w:val="004F0B90"/>
    <w:rsid w:val="004F0F80"/>
    <w:rsid w:val="004F1373"/>
    <w:rsid w:val="004F1A7A"/>
    <w:rsid w:val="004F26AD"/>
    <w:rsid w:val="004F2A1B"/>
    <w:rsid w:val="004F2CA5"/>
    <w:rsid w:val="004F30CE"/>
    <w:rsid w:val="004F3E9C"/>
    <w:rsid w:val="004F403F"/>
    <w:rsid w:val="004F4EB1"/>
    <w:rsid w:val="004F4FD7"/>
    <w:rsid w:val="004F5FED"/>
    <w:rsid w:val="004F610A"/>
    <w:rsid w:val="004F6CEC"/>
    <w:rsid w:val="004F77C3"/>
    <w:rsid w:val="004F7CEE"/>
    <w:rsid w:val="005001CD"/>
    <w:rsid w:val="005004CC"/>
    <w:rsid w:val="00500703"/>
    <w:rsid w:val="00500799"/>
    <w:rsid w:val="005008E5"/>
    <w:rsid w:val="00500A7B"/>
    <w:rsid w:val="00500A99"/>
    <w:rsid w:val="005012E4"/>
    <w:rsid w:val="00501500"/>
    <w:rsid w:val="00502525"/>
    <w:rsid w:val="00502591"/>
    <w:rsid w:val="0050276A"/>
    <w:rsid w:val="00502A93"/>
    <w:rsid w:val="00503A44"/>
    <w:rsid w:val="00504277"/>
    <w:rsid w:val="005053FD"/>
    <w:rsid w:val="00505E59"/>
    <w:rsid w:val="0050771D"/>
    <w:rsid w:val="00507784"/>
    <w:rsid w:val="005077CC"/>
    <w:rsid w:val="00507D73"/>
    <w:rsid w:val="00510E5C"/>
    <w:rsid w:val="00511455"/>
    <w:rsid w:val="00511599"/>
    <w:rsid w:val="00511BD9"/>
    <w:rsid w:val="0051278B"/>
    <w:rsid w:val="00512C92"/>
    <w:rsid w:val="00512EC7"/>
    <w:rsid w:val="005136F9"/>
    <w:rsid w:val="005137F8"/>
    <w:rsid w:val="00513BCA"/>
    <w:rsid w:val="00514600"/>
    <w:rsid w:val="00514B47"/>
    <w:rsid w:val="00514E23"/>
    <w:rsid w:val="005161EE"/>
    <w:rsid w:val="005165CC"/>
    <w:rsid w:val="005169B1"/>
    <w:rsid w:val="00516B4A"/>
    <w:rsid w:val="00517318"/>
    <w:rsid w:val="0051764B"/>
    <w:rsid w:val="0052005F"/>
    <w:rsid w:val="0052054D"/>
    <w:rsid w:val="00520B31"/>
    <w:rsid w:val="00520B9A"/>
    <w:rsid w:val="00520D80"/>
    <w:rsid w:val="00521B25"/>
    <w:rsid w:val="00521B75"/>
    <w:rsid w:val="00521BFD"/>
    <w:rsid w:val="005220CB"/>
    <w:rsid w:val="005222C5"/>
    <w:rsid w:val="00522400"/>
    <w:rsid w:val="005224F9"/>
    <w:rsid w:val="00522D5A"/>
    <w:rsid w:val="0052341F"/>
    <w:rsid w:val="00523736"/>
    <w:rsid w:val="00523D53"/>
    <w:rsid w:val="00523E89"/>
    <w:rsid w:val="00524339"/>
    <w:rsid w:val="00524D5F"/>
    <w:rsid w:val="005255D6"/>
    <w:rsid w:val="005258AF"/>
    <w:rsid w:val="00525CBA"/>
    <w:rsid w:val="005262FE"/>
    <w:rsid w:val="00526D8B"/>
    <w:rsid w:val="00527459"/>
    <w:rsid w:val="00527822"/>
    <w:rsid w:val="005278F7"/>
    <w:rsid w:val="00527924"/>
    <w:rsid w:val="00527BD6"/>
    <w:rsid w:val="00527ECC"/>
    <w:rsid w:val="0053056B"/>
    <w:rsid w:val="00530A07"/>
    <w:rsid w:val="00530D6F"/>
    <w:rsid w:val="00531834"/>
    <w:rsid w:val="00531E58"/>
    <w:rsid w:val="00531F45"/>
    <w:rsid w:val="005328ED"/>
    <w:rsid w:val="00532F72"/>
    <w:rsid w:val="00533276"/>
    <w:rsid w:val="005338E5"/>
    <w:rsid w:val="00533D5E"/>
    <w:rsid w:val="0053468E"/>
    <w:rsid w:val="005348A4"/>
    <w:rsid w:val="00534B51"/>
    <w:rsid w:val="00534C37"/>
    <w:rsid w:val="00535653"/>
    <w:rsid w:val="00535AD5"/>
    <w:rsid w:val="00535CEA"/>
    <w:rsid w:val="005362BC"/>
    <w:rsid w:val="00536351"/>
    <w:rsid w:val="005364D7"/>
    <w:rsid w:val="00536F6B"/>
    <w:rsid w:val="00537752"/>
    <w:rsid w:val="005404ED"/>
    <w:rsid w:val="0054153C"/>
    <w:rsid w:val="00541F78"/>
    <w:rsid w:val="0054268F"/>
    <w:rsid w:val="00542E15"/>
    <w:rsid w:val="0054360F"/>
    <w:rsid w:val="005451CF"/>
    <w:rsid w:val="00545A46"/>
    <w:rsid w:val="00545DA9"/>
    <w:rsid w:val="00546714"/>
    <w:rsid w:val="005469A6"/>
    <w:rsid w:val="005479AB"/>
    <w:rsid w:val="00547BC2"/>
    <w:rsid w:val="00550874"/>
    <w:rsid w:val="00550E15"/>
    <w:rsid w:val="00551363"/>
    <w:rsid w:val="00551E95"/>
    <w:rsid w:val="005525BC"/>
    <w:rsid w:val="005529E6"/>
    <w:rsid w:val="00553035"/>
    <w:rsid w:val="0055311F"/>
    <w:rsid w:val="00553F13"/>
    <w:rsid w:val="00554673"/>
    <w:rsid w:val="0055541E"/>
    <w:rsid w:val="00555690"/>
    <w:rsid w:val="005556D0"/>
    <w:rsid w:val="0055593A"/>
    <w:rsid w:val="0055634F"/>
    <w:rsid w:val="0055664F"/>
    <w:rsid w:val="00556864"/>
    <w:rsid w:val="005569E0"/>
    <w:rsid w:val="00557169"/>
    <w:rsid w:val="005572DE"/>
    <w:rsid w:val="005572F3"/>
    <w:rsid w:val="005575D3"/>
    <w:rsid w:val="00557832"/>
    <w:rsid w:val="00560182"/>
    <w:rsid w:val="0056128A"/>
    <w:rsid w:val="00561358"/>
    <w:rsid w:val="00561AE3"/>
    <w:rsid w:val="005623C5"/>
    <w:rsid w:val="005640B6"/>
    <w:rsid w:val="00564B38"/>
    <w:rsid w:val="00565676"/>
    <w:rsid w:val="00565E58"/>
    <w:rsid w:val="00566FF2"/>
    <w:rsid w:val="005679E4"/>
    <w:rsid w:val="00571169"/>
    <w:rsid w:val="00571A55"/>
    <w:rsid w:val="00572852"/>
    <w:rsid w:val="00572E04"/>
    <w:rsid w:val="005730D1"/>
    <w:rsid w:val="00573CA5"/>
    <w:rsid w:val="005748B1"/>
    <w:rsid w:val="00574AE0"/>
    <w:rsid w:val="00574AE5"/>
    <w:rsid w:val="00574C60"/>
    <w:rsid w:val="0057552E"/>
    <w:rsid w:val="005761BE"/>
    <w:rsid w:val="0057735C"/>
    <w:rsid w:val="0058018B"/>
    <w:rsid w:val="00580761"/>
    <w:rsid w:val="00580B0C"/>
    <w:rsid w:val="00580D3D"/>
    <w:rsid w:val="00580DF7"/>
    <w:rsid w:val="00580E5E"/>
    <w:rsid w:val="0058156E"/>
    <w:rsid w:val="00581C78"/>
    <w:rsid w:val="005822D4"/>
    <w:rsid w:val="00582B50"/>
    <w:rsid w:val="00583651"/>
    <w:rsid w:val="00584DCF"/>
    <w:rsid w:val="00584EBE"/>
    <w:rsid w:val="005851BA"/>
    <w:rsid w:val="005861D3"/>
    <w:rsid w:val="0058657A"/>
    <w:rsid w:val="0058690C"/>
    <w:rsid w:val="00586ADB"/>
    <w:rsid w:val="00586C44"/>
    <w:rsid w:val="0058720F"/>
    <w:rsid w:val="00587210"/>
    <w:rsid w:val="005872CD"/>
    <w:rsid w:val="00587581"/>
    <w:rsid w:val="0058782E"/>
    <w:rsid w:val="00587894"/>
    <w:rsid w:val="00587FFA"/>
    <w:rsid w:val="0059007E"/>
    <w:rsid w:val="00590635"/>
    <w:rsid w:val="0059097A"/>
    <w:rsid w:val="005913BD"/>
    <w:rsid w:val="00592252"/>
    <w:rsid w:val="00592463"/>
    <w:rsid w:val="0059271E"/>
    <w:rsid w:val="005929FB"/>
    <w:rsid w:val="00592FDB"/>
    <w:rsid w:val="00593926"/>
    <w:rsid w:val="00593B09"/>
    <w:rsid w:val="00593B2B"/>
    <w:rsid w:val="00593F61"/>
    <w:rsid w:val="00593FCC"/>
    <w:rsid w:val="00594F85"/>
    <w:rsid w:val="005962E4"/>
    <w:rsid w:val="005966F3"/>
    <w:rsid w:val="00597192"/>
    <w:rsid w:val="00597BAC"/>
    <w:rsid w:val="00597D75"/>
    <w:rsid w:val="00597FEF"/>
    <w:rsid w:val="005A0383"/>
    <w:rsid w:val="005A060D"/>
    <w:rsid w:val="005A0811"/>
    <w:rsid w:val="005A0D3C"/>
    <w:rsid w:val="005A0ED9"/>
    <w:rsid w:val="005A1409"/>
    <w:rsid w:val="005A1574"/>
    <w:rsid w:val="005A1BC5"/>
    <w:rsid w:val="005A2B40"/>
    <w:rsid w:val="005A2CC6"/>
    <w:rsid w:val="005A3331"/>
    <w:rsid w:val="005A3FA4"/>
    <w:rsid w:val="005A45A7"/>
    <w:rsid w:val="005A4B13"/>
    <w:rsid w:val="005A50E2"/>
    <w:rsid w:val="005A5833"/>
    <w:rsid w:val="005A58C6"/>
    <w:rsid w:val="005A5EE3"/>
    <w:rsid w:val="005A68EF"/>
    <w:rsid w:val="005A6970"/>
    <w:rsid w:val="005A6BBE"/>
    <w:rsid w:val="005A6FCB"/>
    <w:rsid w:val="005A7060"/>
    <w:rsid w:val="005A7239"/>
    <w:rsid w:val="005A78FF"/>
    <w:rsid w:val="005B02BF"/>
    <w:rsid w:val="005B0B5B"/>
    <w:rsid w:val="005B0D6B"/>
    <w:rsid w:val="005B27B0"/>
    <w:rsid w:val="005B2A38"/>
    <w:rsid w:val="005B2AD5"/>
    <w:rsid w:val="005B34C0"/>
    <w:rsid w:val="005B4A48"/>
    <w:rsid w:val="005B6BE9"/>
    <w:rsid w:val="005B73C4"/>
    <w:rsid w:val="005B7CEF"/>
    <w:rsid w:val="005B7EDA"/>
    <w:rsid w:val="005C0606"/>
    <w:rsid w:val="005C102D"/>
    <w:rsid w:val="005C19E7"/>
    <w:rsid w:val="005C228E"/>
    <w:rsid w:val="005C25A4"/>
    <w:rsid w:val="005C274C"/>
    <w:rsid w:val="005C2F08"/>
    <w:rsid w:val="005C326F"/>
    <w:rsid w:val="005C3CAB"/>
    <w:rsid w:val="005C49FF"/>
    <w:rsid w:val="005C529A"/>
    <w:rsid w:val="005C5AF7"/>
    <w:rsid w:val="005C630F"/>
    <w:rsid w:val="005C646C"/>
    <w:rsid w:val="005C692D"/>
    <w:rsid w:val="005C6E2A"/>
    <w:rsid w:val="005C79B5"/>
    <w:rsid w:val="005C7C75"/>
    <w:rsid w:val="005C7FC5"/>
    <w:rsid w:val="005D1116"/>
    <w:rsid w:val="005D16E5"/>
    <w:rsid w:val="005D1D97"/>
    <w:rsid w:val="005D22FF"/>
    <w:rsid w:val="005D26E0"/>
    <w:rsid w:val="005D42E8"/>
    <w:rsid w:val="005D4603"/>
    <w:rsid w:val="005D498F"/>
    <w:rsid w:val="005D4CF7"/>
    <w:rsid w:val="005D4FED"/>
    <w:rsid w:val="005D5982"/>
    <w:rsid w:val="005D5984"/>
    <w:rsid w:val="005D5AB7"/>
    <w:rsid w:val="005D7A25"/>
    <w:rsid w:val="005D7FFD"/>
    <w:rsid w:val="005E222F"/>
    <w:rsid w:val="005E22B7"/>
    <w:rsid w:val="005E27B9"/>
    <w:rsid w:val="005E3393"/>
    <w:rsid w:val="005E371C"/>
    <w:rsid w:val="005E3E7F"/>
    <w:rsid w:val="005E43A4"/>
    <w:rsid w:val="005E6635"/>
    <w:rsid w:val="005E6A95"/>
    <w:rsid w:val="005E76FD"/>
    <w:rsid w:val="005E7A6F"/>
    <w:rsid w:val="005E7E62"/>
    <w:rsid w:val="005F0D5D"/>
    <w:rsid w:val="005F1187"/>
    <w:rsid w:val="005F1836"/>
    <w:rsid w:val="005F2051"/>
    <w:rsid w:val="005F2351"/>
    <w:rsid w:val="005F24F1"/>
    <w:rsid w:val="005F24FD"/>
    <w:rsid w:val="005F33D0"/>
    <w:rsid w:val="005F3DAD"/>
    <w:rsid w:val="005F4EBB"/>
    <w:rsid w:val="005F5915"/>
    <w:rsid w:val="005F5975"/>
    <w:rsid w:val="005F5C78"/>
    <w:rsid w:val="005F6162"/>
    <w:rsid w:val="005F6636"/>
    <w:rsid w:val="005F6B7A"/>
    <w:rsid w:val="005F6C24"/>
    <w:rsid w:val="005F7C9C"/>
    <w:rsid w:val="00600B81"/>
    <w:rsid w:val="00600DB2"/>
    <w:rsid w:val="0060190A"/>
    <w:rsid w:val="006020E1"/>
    <w:rsid w:val="00602671"/>
    <w:rsid w:val="006026B1"/>
    <w:rsid w:val="0060353D"/>
    <w:rsid w:val="0060361F"/>
    <w:rsid w:val="00603B76"/>
    <w:rsid w:val="006042B0"/>
    <w:rsid w:val="006046DF"/>
    <w:rsid w:val="00604C36"/>
    <w:rsid w:val="00605442"/>
    <w:rsid w:val="006059B9"/>
    <w:rsid w:val="0060617F"/>
    <w:rsid w:val="00606219"/>
    <w:rsid w:val="00606256"/>
    <w:rsid w:val="00606321"/>
    <w:rsid w:val="00606C86"/>
    <w:rsid w:val="00607051"/>
    <w:rsid w:val="006075B0"/>
    <w:rsid w:val="00607D8B"/>
    <w:rsid w:val="00607E8C"/>
    <w:rsid w:val="00610100"/>
    <w:rsid w:val="0061071F"/>
    <w:rsid w:val="00611397"/>
    <w:rsid w:val="0061164B"/>
    <w:rsid w:val="00611794"/>
    <w:rsid w:val="00611B49"/>
    <w:rsid w:val="00612797"/>
    <w:rsid w:val="006131B3"/>
    <w:rsid w:val="006134F3"/>
    <w:rsid w:val="00614175"/>
    <w:rsid w:val="0061529F"/>
    <w:rsid w:val="00615AF4"/>
    <w:rsid w:val="00615B30"/>
    <w:rsid w:val="00617170"/>
    <w:rsid w:val="00617181"/>
    <w:rsid w:val="0061781A"/>
    <w:rsid w:val="00617FFE"/>
    <w:rsid w:val="00620A0F"/>
    <w:rsid w:val="00620B88"/>
    <w:rsid w:val="00621454"/>
    <w:rsid w:val="006214F4"/>
    <w:rsid w:val="00621597"/>
    <w:rsid w:val="0062190C"/>
    <w:rsid w:val="00621BF3"/>
    <w:rsid w:val="0062329D"/>
    <w:rsid w:val="006232B8"/>
    <w:rsid w:val="00623D75"/>
    <w:rsid w:val="00624392"/>
    <w:rsid w:val="00624DF5"/>
    <w:rsid w:val="00627400"/>
    <w:rsid w:val="00627674"/>
    <w:rsid w:val="00627B61"/>
    <w:rsid w:val="006304AC"/>
    <w:rsid w:val="00630993"/>
    <w:rsid w:val="00630A04"/>
    <w:rsid w:val="00631838"/>
    <w:rsid w:val="00631C7C"/>
    <w:rsid w:val="00632209"/>
    <w:rsid w:val="0063246D"/>
    <w:rsid w:val="00632971"/>
    <w:rsid w:val="00632B96"/>
    <w:rsid w:val="00632CEE"/>
    <w:rsid w:val="0063529C"/>
    <w:rsid w:val="00635643"/>
    <w:rsid w:val="00635AB3"/>
    <w:rsid w:val="00635BD5"/>
    <w:rsid w:val="00636A5A"/>
    <w:rsid w:val="00636E64"/>
    <w:rsid w:val="0063717D"/>
    <w:rsid w:val="006402FF"/>
    <w:rsid w:val="006410FC"/>
    <w:rsid w:val="0064113B"/>
    <w:rsid w:val="00641429"/>
    <w:rsid w:val="00641CBB"/>
    <w:rsid w:val="00642B6A"/>
    <w:rsid w:val="006437A9"/>
    <w:rsid w:val="006437C8"/>
    <w:rsid w:val="00643B33"/>
    <w:rsid w:val="00643C1E"/>
    <w:rsid w:val="006451A3"/>
    <w:rsid w:val="00645A2E"/>
    <w:rsid w:val="00645D3B"/>
    <w:rsid w:val="00645F6E"/>
    <w:rsid w:val="00646DD2"/>
    <w:rsid w:val="00647B38"/>
    <w:rsid w:val="00647F9F"/>
    <w:rsid w:val="00650056"/>
    <w:rsid w:val="00650BD0"/>
    <w:rsid w:val="0065111C"/>
    <w:rsid w:val="006511CF"/>
    <w:rsid w:val="006517EE"/>
    <w:rsid w:val="00651929"/>
    <w:rsid w:val="00651C13"/>
    <w:rsid w:val="006521E9"/>
    <w:rsid w:val="00652BBD"/>
    <w:rsid w:val="00652E34"/>
    <w:rsid w:val="00653232"/>
    <w:rsid w:val="00653B05"/>
    <w:rsid w:val="006548CF"/>
    <w:rsid w:val="00654B5A"/>
    <w:rsid w:val="00655735"/>
    <w:rsid w:val="006559C6"/>
    <w:rsid w:val="00656140"/>
    <w:rsid w:val="0065621F"/>
    <w:rsid w:val="0065653C"/>
    <w:rsid w:val="00656E0F"/>
    <w:rsid w:val="00657234"/>
    <w:rsid w:val="006576F9"/>
    <w:rsid w:val="00657852"/>
    <w:rsid w:val="00657962"/>
    <w:rsid w:val="006579D8"/>
    <w:rsid w:val="00660735"/>
    <w:rsid w:val="0066082C"/>
    <w:rsid w:val="00660DF6"/>
    <w:rsid w:val="006618EE"/>
    <w:rsid w:val="006621CC"/>
    <w:rsid w:val="0066285D"/>
    <w:rsid w:val="006641F9"/>
    <w:rsid w:val="006649F7"/>
    <w:rsid w:val="006652CA"/>
    <w:rsid w:val="00665588"/>
    <w:rsid w:val="00665B46"/>
    <w:rsid w:val="00666386"/>
    <w:rsid w:val="00666AE1"/>
    <w:rsid w:val="006671DA"/>
    <w:rsid w:val="006675A2"/>
    <w:rsid w:val="006675F2"/>
    <w:rsid w:val="00667E02"/>
    <w:rsid w:val="00670149"/>
    <w:rsid w:val="006706D3"/>
    <w:rsid w:val="006707FE"/>
    <w:rsid w:val="00671354"/>
    <w:rsid w:val="00671B33"/>
    <w:rsid w:val="00671B7E"/>
    <w:rsid w:val="00671BBD"/>
    <w:rsid w:val="00672F26"/>
    <w:rsid w:val="00673B1B"/>
    <w:rsid w:val="00674B26"/>
    <w:rsid w:val="00674CBB"/>
    <w:rsid w:val="006752EC"/>
    <w:rsid w:val="00675E63"/>
    <w:rsid w:val="00676357"/>
    <w:rsid w:val="00676410"/>
    <w:rsid w:val="00676767"/>
    <w:rsid w:val="00676EE3"/>
    <w:rsid w:val="006772B7"/>
    <w:rsid w:val="006776D5"/>
    <w:rsid w:val="00677A0E"/>
    <w:rsid w:val="00677E59"/>
    <w:rsid w:val="0068037D"/>
    <w:rsid w:val="00680907"/>
    <w:rsid w:val="00680AA8"/>
    <w:rsid w:val="00680C61"/>
    <w:rsid w:val="00681409"/>
    <w:rsid w:val="006816D1"/>
    <w:rsid w:val="00681791"/>
    <w:rsid w:val="00681C65"/>
    <w:rsid w:val="00682182"/>
    <w:rsid w:val="006824DA"/>
    <w:rsid w:val="0068295D"/>
    <w:rsid w:val="00683297"/>
    <w:rsid w:val="006835B2"/>
    <w:rsid w:val="006836B4"/>
    <w:rsid w:val="00683EDA"/>
    <w:rsid w:val="0068405E"/>
    <w:rsid w:val="006841FB"/>
    <w:rsid w:val="0068441D"/>
    <w:rsid w:val="00684B63"/>
    <w:rsid w:val="00686568"/>
    <w:rsid w:val="00686836"/>
    <w:rsid w:val="00686C24"/>
    <w:rsid w:val="0068757C"/>
    <w:rsid w:val="00687F43"/>
    <w:rsid w:val="00690612"/>
    <w:rsid w:val="00690787"/>
    <w:rsid w:val="00691677"/>
    <w:rsid w:val="00691B12"/>
    <w:rsid w:val="006921DD"/>
    <w:rsid w:val="00692486"/>
    <w:rsid w:val="00692666"/>
    <w:rsid w:val="00693233"/>
    <w:rsid w:val="006938E8"/>
    <w:rsid w:val="00693CF7"/>
    <w:rsid w:val="00693F86"/>
    <w:rsid w:val="006942A6"/>
    <w:rsid w:val="00694AA1"/>
    <w:rsid w:val="006956F7"/>
    <w:rsid w:val="00695E20"/>
    <w:rsid w:val="00696097"/>
    <w:rsid w:val="00696EC8"/>
    <w:rsid w:val="0069704C"/>
    <w:rsid w:val="006974D7"/>
    <w:rsid w:val="00697735"/>
    <w:rsid w:val="00697A4C"/>
    <w:rsid w:val="00697E58"/>
    <w:rsid w:val="006A0C9B"/>
    <w:rsid w:val="006A0CA6"/>
    <w:rsid w:val="006A0EC1"/>
    <w:rsid w:val="006A13B6"/>
    <w:rsid w:val="006A19B9"/>
    <w:rsid w:val="006A1EC1"/>
    <w:rsid w:val="006A291D"/>
    <w:rsid w:val="006A2B05"/>
    <w:rsid w:val="006A3437"/>
    <w:rsid w:val="006A3528"/>
    <w:rsid w:val="006A3716"/>
    <w:rsid w:val="006A3AE2"/>
    <w:rsid w:val="006A3BEB"/>
    <w:rsid w:val="006A4F5F"/>
    <w:rsid w:val="006A51D2"/>
    <w:rsid w:val="006A56A2"/>
    <w:rsid w:val="006A5A04"/>
    <w:rsid w:val="006A5BA4"/>
    <w:rsid w:val="006A5F04"/>
    <w:rsid w:val="006A630B"/>
    <w:rsid w:val="006A6AEC"/>
    <w:rsid w:val="006A7B2D"/>
    <w:rsid w:val="006A7B31"/>
    <w:rsid w:val="006B111F"/>
    <w:rsid w:val="006B11C4"/>
    <w:rsid w:val="006B1A4D"/>
    <w:rsid w:val="006B1BAE"/>
    <w:rsid w:val="006B25DE"/>
    <w:rsid w:val="006B2BDF"/>
    <w:rsid w:val="006B39B2"/>
    <w:rsid w:val="006B3C6F"/>
    <w:rsid w:val="006B4038"/>
    <w:rsid w:val="006B4967"/>
    <w:rsid w:val="006B5555"/>
    <w:rsid w:val="006B57F7"/>
    <w:rsid w:val="006B5963"/>
    <w:rsid w:val="006B5BDE"/>
    <w:rsid w:val="006B7420"/>
    <w:rsid w:val="006B7E0E"/>
    <w:rsid w:val="006B7FC3"/>
    <w:rsid w:val="006C0371"/>
    <w:rsid w:val="006C054C"/>
    <w:rsid w:val="006C05E3"/>
    <w:rsid w:val="006C10A1"/>
    <w:rsid w:val="006C15E9"/>
    <w:rsid w:val="006C18A8"/>
    <w:rsid w:val="006C2415"/>
    <w:rsid w:val="006C2433"/>
    <w:rsid w:val="006C2BD0"/>
    <w:rsid w:val="006C2F49"/>
    <w:rsid w:val="006C3050"/>
    <w:rsid w:val="006C3919"/>
    <w:rsid w:val="006C40DF"/>
    <w:rsid w:val="006C46A0"/>
    <w:rsid w:val="006C6117"/>
    <w:rsid w:val="006C6FD3"/>
    <w:rsid w:val="006C7DDB"/>
    <w:rsid w:val="006D0190"/>
    <w:rsid w:val="006D0FA9"/>
    <w:rsid w:val="006D13E6"/>
    <w:rsid w:val="006D1BDB"/>
    <w:rsid w:val="006D2F42"/>
    <w:rsid w:val="006D3E19"/>
    <w:rsid w:val="006D42F1"/>
    <w:rsid w:val="006D485F"/>
    <w:rsid w:val="006D49BC"/>
    <w:rsid w:val="006D504C"/>
    <w:rsid w:val="006D5448"/>
    <w:rsid w:val="006D5E83"/>
    <w:rsid w:val="006D6ABB"/>
    <w:rsid w:val="006D6B83"/>
    <w:rsid w:val="006D7A85"/>
    <w:rsid w:val="006D7A91"/>
    <w:rsid w:val="006D7C7E"/>
    <w:rsid w:val="006E1000"/>
    <w:rsid w:val="006E173D"/>
    <w:rsid w:val="006E1B89"/>
    <w:rsid w:val="006E1F8C"/>
    <w:rsid w:val="006E243F"/>
    <w:rsid w:val="006E28BF"/>
    <w:rsid w:val="006E2FF3"/>
    <w:rsid w:val="006E3113"/>
    <w:rsid w:val="006E4761"/>
    <w:rsid w:val="006E4D7A"/>
    <w:rsid w:val="006E4E8E"/>
    <w:rsid w:val="006E4F55"/>
    <w:rsid w:val="006E4F5A"/>
    <w:rsid w:val="006E500A"/>
    <w:rsid w:val="006E5273"/>
    <w:rsid w:val="006E61CA"/>
    <w:rsid w:val="006E6931"/>
    <w:rsid w:val="006E6951"/>
    <w:rsid w:val="006E7688"/>
    <w:rsid w:val="006E79ED"/>
    <w:rsid w:val="006E7A7B"/>
    <w:rsid w:val="006F18F7"/>
    <w:rsid w:val="006F18FE"/>
    <w:rsid w:val="006F26EA"/>
    <w:rsid w:val="006F32D2"/>
    <w:rsid w:val="006F42B9"/>
    <w:rsid w:val="006F4CEF"/>
    <w:rsid w:val="006F5335"/>
    <w:rsid w:val="006F57D6"/>
    <w:rsid w:val="006F5BB0"/>
    <w:rsid w:val="006F6F2C"/>
    <w:rsid w:val="006F7163"/>
    <w:rsid w:val="00700185"/>
    <w:rsid w:val="007001E2"/>
    <w:rsid w:val="007003C6"/>
    <w:rsid w:val="00700443"/>
    <w:rsid w:val="0070052E"/>
    <w:rsid w:val="00700F26"/>
    <w:rsid w:val="0070122B"/>
    <w:rsid w:val="0070140A"/>
    <w:rsid w:val="00702549"/>
    <w:rsid w:val="007030E9"/>
    <w:rsid w:val="007039B2"/>
    <w:rsid w:val="007050B2"/>
    <w:rsid w:val="00705162"/>
    <w:rsid w:val="007059DD"/>
    <w:rsid w:val="00705D91"/>
    <w:rsid w:val="00705E68"/>
    <w:rsid w:val="00706640"/>
    <w:rsid w:val="007079F2"/>
    <w:rsid w:val="00710380"/>
    <w:rsid w:val="00710A43"/>
    <w:rsid w:val="00710F92"/>
    <w:rsid w:val="0071186A"/>
    <w:rsid w:val="007129C7"/>
    <w:rsid w:val="00712B66"/>
    <w:rsid w:val="00712F31"/>
    <w:rsid w:val="00712F6E"/>
    <w:rsid w:val="00713A91"/>
    <w:rsid w:val="00714C5E"/>
    <w:rsid w:val="00714E6C"/>
    <w:rsid w:val="00715431"/>
    <w:rsid w:val="00715A2E"/>
    <w:rsid w:val="00715E6A"/>
    <w:rsid w:val="00716E5C"/>
    <w:rsid w:val="007170C0"/>
    <w:rsid w:val="00717328"/>
    <w:rsid w:val="00717464"/>
    <w:rsid w:val="00717628"/>
    <w:rsid w:val="007177A8"/>
    <w:rsid w:val="00717A58"/>
    <w:rsid w:val="00717F04"/>
    <w:rsid w:val="007200EC"/>
    <w:rsid w:val="0072089B"/>
    <w:rsid w:val="00720CB6"/>
    <w:rsid w:val="00721585"/>
    <w:rsid w:val="0072212D"/>
    <w:rsid w:val="00722765"/>
    <w:rsid w:val="00722AAE"/>
    <w:rsid w:val="00722C7A"/>
    <w:rsid w:val="007246B8"/>
    <w:rsid w:val="00724782"/>
    <w:rsid w:val="007249E1"/>
    <w:rsid w:val="00725441"/>
    <w:rsid w:val="007254FB"/>
    <w:rsid w:val="007263C6"/>
    <w:rsid w:val="0072683A"/>
    <w:rsid w:val="00726A6F"/>
    <w:rsid w:val="00727364"/>
    <w:rsid w:val="00727797"/>
    <w:rsid w:val="007300BD"/>
    <w:rsid w:val="007308E6"/>
    <w:rsid w:val="007310EC"/>
    <w:rsid w:val="007319D7"/>
    <w:rsid w:val="00731B11"/>
    <w:rsid w:val="00732644"/>
    <w:rsid w:val="007326C3"/>
    <w:rsid w:val="0073328C"/>
    <w:rsid w:val="00733875"/>
    <w:rsid w:val="007341C7"/>
    <w:rsid w:val="007343D6"/>
    <w:rsid w:val="00734616"/>
    <w:rsid w:val="00734C27"/>
    <w:rsid w:val="007360A6"/>
    <w:rsid w:val="00736177"/>
    <w:rsid w:val="00736D97"/>
    <w:rsid w:val="007371A9"/>
    <w:rsid w:val="007375E0"/>
    <w:rsid w:val="0073782A"/>
    <w:rsid w:val="0074011A"/>
    <w:rsid w:val="007411E9"/>
    <w:rsid w:val="00741CDE"/>
    <w:rsid w:val="00741F82"/>
    <w:rsid w:val="007429FD"/>
    <w:rsid w:val="007437CC"/>
    <w:rsid w:val="00743D80"/>
    <w:rsid w:val="0074462D"/>
    <w:rsid w:val="00744C7D"/>
    <w:rsid w:val="0074533E"/>
    <w:rsid w:val="00745BE4"/>
    <w:rsid w:val="00745D39"/>
    <w:rsid w:val="0074619A"/>
    <w:rsid w:val="007461F7"/>
    <w:rsid w:val="00746301"/>
    <w:rsid w:val="007463DD"/>
    <w:rsid w:val="0074719F"/>
    <w:rsid w:val="00747543"/>
    <w:rsid w:val="007475B0"/>
    <w:rsid w:val="0074763E"/>
    <w:rsid w:val="00747829"/>
    <w:rsid w:val="00750410"/>
    <w:rsid w:val="0075099F"/>
    <w:rsid w:val="00750D92"/>
    <w:rsid w:val="0075205E"/>
    <w:rsid w:val="007521A8"/>
    <w:rsid w:val="0075298F"/>
    <w:rsid w:val="00753C43"/>
    <w:rsid w:val="00753FF3"/>
    <w:rsid w:val="0075469A"/>
    <w:rsid w:val="00754CB5"/>
    <w:rsid w:val="007557A1"/>
    <w:rsid w:val="00755A33"/>
    <w:rsid w:val="00756955"/>
    <w:rsid w:val="00756D48"/>
    <w:rsid w:val="00756E18"/>
    <w:rsid w:val="00757460"/>
    <w:rsid w:val="007575FE"/>
    <w:rsid w:val="00757A2C"/>
    <w:rsid w:val="0076114B"/>
    <w:rsid w:val="0076132A"/>
    <w:rsid w:val="00761B0B"/>
    <w:rsid w:val="007621FD"/>
    <w:rsid w:val="007626F6"/>
    <w:rsid w:val="00762934"/>
    <w:rsid w:val="007632D6"/>
    <w:rsid w:val="00763A6F"/>
    <w:rsid w:val="00763F0B"/>
    <w:rsid w:val="0076503F"/>
    <w:rsid w:val="00765374"/>
    <w:rsid w:val="00765827"/>
    <w:rsid w:val="00765857"/>
    <w:rsid w:val="00765899"/>
    <w:rsid w:val="00765A0F"/>
    <w:rsid w:val="00765C43"/>
    <w:rsid w:val="007661D5"/>
    <w:rsid w:val="00766A3B"/>
    <w:rsid w:val="0076720A"/>
    <w:rsid w:val="007708A3"/>
    <w:rsid w:val="007709EF"/>
    <w:rsid w:val="00770B72"/>
    <w:rsid w:val="00772DFB"/>
    <w:rsid w:val="00773221"/>
    <w:rsid w:val="00773474"/>
    <w:rsid w:val="0077360A"/>
    <w:rsid w:val="0077388E"/>
    <w:rsid w:val="00773C7B"/>
    <w:rsid w:val="00773E5B"/>
    <w:rsid w:val="00773F1E"/>
    <w:rsid w:val="007740D0"/>
    <w:rsid w:val="00774156"/>
    <w:rsid w:val="00774706"/>
    <w:rsid w:val="0077503D"/>
    <w:rsid w:val="0077532F"/>
    <w:rsid w:val="00775394"/>
    <w:rsid w:val="007757AB"/>
    <w:rsid w:val="00775B43"/>
    <w:rsid w:val="00775E98"/>
    <w:rsid w:val="0077637D"/>
    <w:rsid w:val="00776490"/>
    <w:rsid w:val="00777DED"/>
    <w:rsid w:val="00777E2F"/>
    <w:rsid w:val="00780131"/>
    <w:rsid w:val="007802F1"/>
    <w:rsid w:val="0078075B"/>
    <w:rsid w:val="007808C9"/>
    <w:rsid w:val="00780A89"/>
    <w:rsid w:val="00780BDE"/>
    <w:rsid w:val="00780CE4"/>
    <w:rsid w:val="00781BF7"/>
    <w:rsid w:val="00782130"/>
    <w:rsid w:val="007824FB"/>
    <w:rsid w:val="00782671"/>
    <w:rsid w:val="00782ED3"/>
    <w:rsid w:val="007837EA"/>
    <w:rsid w:val="00783888"/>
    <w:rsid w:val="00783E87"/>
    <w:rsid w:val="007841D3"/>
    <w:rsid w:val="00784CFF"/>
    <w:rsid w:val="00784EF0"/>
    <w:rsid w:val="007853D9"/>
    <w:rsid w:val="007853ED"/>
    <w:rsid w:val="0078600F"/>
    <w:rsid w:val="007868FA"/>
    <w:rsid w:val="00786A5D"/>
    <w:rsid w:val="0078739B"/>
    <w:rsid w:val="00787584"/>
    <w:rsid w:val="00787FF6"/>
    <w:rsid w:val="00790026"/>
    <w:rsid w:val="0079022E"/>
    <w:rsid w:val="00790549"/>
    <w:rsid w:val="00790B7D"/>
    <w:rsid w:val="00791384"/>
    <w:rsid w:val="007913AD"/>
    <w:rsid w:val="007913E2"/>
    <w:rsid w:val="00791666"/>
    <w:rsid w:val="0079279B"/>
    <w:rsid w:val="00792902"/>
    <w:rsid w:val="007929BF"/>
    <w:rsid w:val="00793B07"/>
    <w:rsid w:val="00793BE8"/>
    <w:rsid w:val="007957C0"/>
    <w:rsid w:val="007959F7"/>
    <w:rsid w:val="00795A6C"/>
    <w:rsid w:val="007962B1"/>
    <w:rsid w:val="00797370"/>
    <w:rsid w:val="007976A0"/>
    <w:rsid w:val="00797A23"/>
    <w:rsid w:val="00797E8D"/>
    <w:rsid w:val="007A039F"/>
    <w:rsid w:val="007A0617"/>
    <w:rsid w:val="007A0E7E"/>
    <w:rsid w:val="007A1620"/>
    <w:rsid w:val="007A22A0"/>
    <w:rsid w:val="007A24DE"/>
    <w:rsid w:val="007A268C"/>
    <w:rsid w:val="007A271C"/>
    <w:rsid w:val="007A284A"/>
    <w:rsid w:val="007A2E9C"/>
    <w:rsid w:val="007A30DB"/>
    <w:rsid w:val="007A3E1E"/>
    <w:rsid w:val="007A4DA6"/>
    <w:rsid w:val="007A5468"/>
    <w:rsid w:val="007A606E"/>
    <w:rsid w:val="007A6577"/>
    <w:rsid w:val="007A68E1"/>
    <w:rsid w:val="007A7E73"/>
    <w:rsid w:val="007B05F3"/>
    <w:rsid w:val="007B0A1C"/>
    <w:rsid w:val="007B0CF7"/>
    <w:rsid w:val="007B230E"/>
    <w:rsid w:val="007B260E"/>
    <w:rsid w:val="007B270B"/>
    <w:rsid w:val="007B2B72"/>
    <w:rsid w:val="007B3185"/>
    <w:rsid w:val="007B31B9"/>
    <w:rsid w:val="007B39D3"/>
    <w:rsid w:val="007B3A13"/>
    <w:rsid w:val="007B462E"/>
    <w:rsid w:val="007B48C2"/>
    <w:rsid w:val="007B4D20"/>
    <w:rsid w:val="007B5A0F"/>
    <w:rsid w:val="007B5B63"/>
    <w:rsid w:val="007B5DCE"/>
    <w:rsid w:val="007B6E13"/>
    <w:rsid w:val="007B6E3A"/>
    <w:rsid w:val="007B7812"/>
    <w:rsid w:val="007B7A71"/>
    <w:rsid w:val="007B7D1A"/>
    <w:rsid w:val="007C0102"/>
    <w:rsid w:val="007C0E67"/>
    <w:rsid w:val="007C16A8"/>
    <w:rsid w:val="007C1832"/>
    <w:rsid w:val="007C1A84"/>
    <w:rsid w:val="007C1C59"/>
    <w:rsid w:val="007C1F46"/>
    <w:rsid w:val="007C2171"/>
    <w:rsid w:val="007C22DD"/>
    <w:rsid w:val="007C36E7"/>
    <w:rsid w:val="007C46E8"/>
    <w:rsid w:val="007C4EB7"/>
    <w:rsid w:val="007C5701"/>
    <w:rsid w:val="007C6631"/>
    <w:rsid w:val="007C68A2"/>
    <w:rsid w:val="007C6E93"/>
    <w:rsid w:val="007C6EF5"/>
    <w:rsid w:val="007C7112"/>
    <w:rsid w:val="007D02A0"/>
    <w:rsid w:val="007D077A"/>
    <w:rsid w:val="007D0896"/>
    <w:rsid w:val="007D1951"/>
    <w:rsid w:val="007D19EF"/>
    <w:rsid w:val="007D1EE3"/>
    <w:rsid w:val="007D2DBA"/>
    <w:rsid w:val="007D4296"/>
    <w:rsid w:val="007D43C3"/>
    <w:rsid w:val="007D4516"/>
    <w:rsid w:val="007D46ED"/>
    <w:rsid w:val="007D4CEA"/>
    <w:rsid w:val="007D5C2A"/>
    <w:rsid w:val="007D604A"/>
    <w:rsid w:val="007D60D8"/>
    <w:rsid w:val="007D6852"/>
    <w:rsid w:val="007D68B9"/>
    <w:rsid w:val="007D6D4F"/>
    <w:rsid w:val="007D7026"/>
    <w:rsid w:val="007D76B8"/>
    <w:rsid w:val="007E057F"/>
    <w:rsid w:val="007E05CD"/>
    <w:rsid w:val="007E0C59"/>
    <w:rsid w:val="007E1251"/>
    <w:rsid w:val="007E131B"/>
    <w:rsid w:val="007E1B88"/>
    <w:rsid w:val="007E21C7"/>
    <w:rsid w:val="007E227A"/>
    <w:rsid w:val="007E29D0"/>
    <w:rsid w:val="007E3E8F"/>
    <w:rsid w:val="007E4120"/>
    <w:rsid w:val="007E4813"/>
    <w:rsid w:val="007E748A"/>
    <w:rsid w:val="007E76B3"/>
    <w:rsid w:val="007E7D86"/>
    <w:rsid w:val="007F077D"/>
    <w:rsid w:val="007F0CCF"/>
    <w:rsid w:val="007F1089"/>
    <w:rsid w:val="007F10F6"/>
    <w:rsid w:val="007F1363"/>
    <w:rsid w:val="007F1C59"/>
    <w:rsid w:val="007F24EC"/>
    <w:rsid w:val="007F277B"/>
    <w:rsid w:val="007F2994"/>
    <w:rsid w:val="007F3053"/>
    <w:rsid w:val="007F3707"/>
    <w:rsid w:val="007F398A"/>
    <w:rsid w:val="007F4BC1"/>
    <w:rsid w:val="007F4BDD"/>
    <w:rsid w:val="007F4D76"/>
    <w:rsid w:val="007F5ACC"/>
    <w:rsid w:val="007F60F8"/>
    <w:rsid w:val="007F767B"/>
    <w:rsid w:val="007F7914"/>
    <w:rsid w:val="007F7C0C"/>
    <w:rsid w:val="007F7FEA"/>
    <w:rsid w:val="008002D9"/>
    <w:rsid w:val="008003EC"/>
    <w:rsid w:val="00800922"/>
    <w:rsid w:val="00800FE1"/>
    <w:rsid w:val="00801372"/>
    <w:rsid w:val="00801486"/>
    <w:rsid w:val="00801E43"/>
    <w:rsid w:val="00803008"/>
    <w:rsid w:val="008031F7"/>
    <w:rsid w:val="008032DA"/>
    <w:rsid w:val="008040DF"/>
    <w:rsid w:val="0080428D"/>
    <w:rsid w:val="00805947"/>
    <w:rsid w:val="008079AC"/>
    <w:rsid w:val="00807D94"/>
    <w:rsid w:val="00807F47"/>
    <w:rsid w:val="008108A0"/>
    <w:rsid w:val="00810952"/>
    <w:rsid w:val="00810F8A"/>
    <w:rsid w:val="0081119C"/>
    <w:rsid w:val="00811F99"/>
    <w:rsid w:val="00812909"/>
    <w:rsid w:val="00812A07"/>
    <w:rsid w:val="00813201"/>
    <w:rsid w:val="00813392"/>
    <w:rsid w:val="0081357F"/>
    <w:rsid w:val="0081382C"/>
    <w:rsid w:val="008138D4"/>
    <w:rsid w:val="008139E3"/>
    <w:rsid w:val="00813B41"/>
    <w:rsid w:val="00815DDE"/>
    <w:rsid w:val="008169A8"/>
    <w:rsid w:val="00816E1C"/>
    <w:rsid w:val="008175C0"/>
    <w:rsid w:val="0081799D"/>
    <w:rsid w:val="00817CB2"/>
    <w:rsid w:val="00817DAB"/>
    <w:rsid w:val="00817F96"/>
    <w:rsid w:val="008200C3"/>
    <w:rsid w:val="008204D2"/>
    <w:rsid w:val="00821031"/>
    <w:rsid w:val="00821287"/>
    <w:rsid w:val="0082165F"/>
    <w:rsid w:val="00821740"/>
    <w:rsid w:val="00821991"/>
    <w:rsid w:val="00821DEE"/>
    <w:rsid w:val="00821E5E"/>
    <w:rsid w:val="00822D24"/>
    <w:rsid w:val="00822DA6"/>
    <w:rsid w:val="008231DD"/>
    <w:rsid w:val="008239D7"/>
    <w:rsid w:val="00823D68"/>
    <w:rsid w:val="00824CFE"/>
    <w:rsid w:val="00824F68"/>
    <w:rsid w:val="008254C9"/>
    <w:rsid w:val="00825711"/>
    <w:rsid w:val="008263B0"/>
    <w:rsid w:val="00826914"/>
    <w:rsid w:val="00826DE8"/>
    <w:rsid w:val="00827311"/>
    <w:rsid w:val="00827716"/>
    <w:rsid w:val="00827F6E"/>
    <w:rsid w:val="0083061A"/>
    <w:rsid w:val="00830DE8"/>
    <w:rsid w:val="00831944"/>
    <w:rsid w:val="00831978"/>
    <w:rsid w:val="00831A9F"/>
    <w:rsid w:val="00831DEF"/>
    <w:rsid w:val="00832D19"/>
    <w:rsid w:val="00832D88"/>
    <w:rsid w:val="00833743"/>
    <w:rsid w:val="00833947"/>
    <w:rsid w:val="00833DE7"/>
    <w:rsid w:val="00834738"/>
    <w:rsid w:val="00834870"/>
    <w:rsid w:val="00834A74"/>
    <w:rsid w:val="008350D6"/>
    <w:rsid w:val="0083576B"/>
    <w:rsid w:val="00835947"/>
    <w:rsid w:val="00835B6E"/>
    <w:rsid w:val="00836160"/>
    <w:rsid w:val="00836C79"/>
    <w:rsid w:val="008375D4"/>
    <w:rsid w:val="00837886"/>
    <w:rsid w:val="008378BE"/>
    <w:rsid w:val="00837D77"/>
    <w:rsid w:val="00837F1B"/>
    <w:rsid w:val="00840084"/>
    <w:rsid w:val="008405B2"/>
    <w:rsid w:val="00840A92"/>
    <w:rsid w:val="00840AB6"/>
    <w:rsid w:val="0084106E"/>
    <w:rsid w:val="00841C53"/>
    <w:rsid w:val="00842411"/>
    <w:rsid w:val="00842799"/>
    <w:rsid w:val="00842EF7"/>
    <w:rsid w:val="00843030"/>
    <w:rsid w:val="008430A3"/>
    <w:rsid w:val="00843389"/>
    <w:rsid w:val="008438FC"/>
    <w:rsid w:val="00844171"/>
    <w:rsid w:val="008452A8"/>
    <w:rsid w:val="00845F4B"/>
    <w:rsid w:val="00845F57"/>
    <w:rsid w:val="008461B5"/>
    <w:rsid w:val="00846794"/>
    <w:rsid w:val="00846B1E"/>
    <w:rsid w:val="00846B24"/>
    <w:rsid w:val="00846E08"/>
    <w:rsid w:val="00846F1E"/>
    <w:rsid w:val="0084771E"/>
    <w:rsid w:val="0085039D"/>
    <w:rsid w:val="0085055E"/>
    <w:rsid w:val="008507F1"/>
    <w:rsid w:val="0085095C"/>
    <w:rsid w:val="00850B3B"/>
    <w:rsid w:val="008513AF"/>
    <w:rsid w:val="008514B3"/>
    <w:rsid w:val="00851922"/>
    <w:rsid w:val="00851C23"/>
    <w:rsid w:val="008521DD"/>
    <w:rsid w:val="00852C18"/>
    <w:rsid w:val="00852F5C"/>
    <w:rsid w:val="0085411D"/>
    <w:rsid w:val="00854152"/>
    <w:rsid w:val="008545D5"/>
    <w:rsid w:val="008556E5"/>
    <w:rsid w:val="00855B8A"/>
    <w:rsid w:val="008561B5"/>
    <w:rsid w:val="00856A6B"/>
    <w:rsid w:val="00856E17"/>
    <w:rsid w:val="008570C8"/>
    <w:rsid w:val="00857240"/>
    <w:rsid w:val="00857C87"/>
    <w:rsid w:val="00857CD6"/>
    <w:rsid w:val="008606EE"/>
    <w:rsid w:val="00860E19"/>
    <w:rsid w:val="0086147B"/>
    <w:rsid w:val="008617BC"/>
    <w:rsid w:val="00861FB2"/>
    <w:rsid w:val="00862EF6"/>
    <w:rsid w:val="00863197"/>
    <w:rsid w:val="00863972"/>
    <w:rsid w:val="008647B1"/>
    <w:rsid w:val="0086541F"/>
    <w:rsid w:val="008660D4"/>
    <w:rsid w:val="00866290"/>
    <w:rsid w:val="00866615"/>
    <w:rsid w:val="008667CA"/>
    <w:rsid w:val="00866DB6"/>
    <w:rsid w:val="00867543"/>
    <w:rsid w:val="00867942"/>
    <w:rsid w:val="00867BFF"/>
    <w:rsid w:val="0087047F"/>
    <w:rsid w:val="00871422"/>
    <w:rsid w:val="008725E7"/>
    <w:rsid w:val="008743C9"/>
    <w:rsid w:val="00874732"/>
    <w:rsid w:val="008748B6"/>
    <w:rsid w:val="008749DC"/>
    <w:rsid w:val="0087536B"/>
    <w:rsid w:val="00875560"/>
    <w:rsid w:val="00876932"/>
    <w:rsid w:val="00876FCB"/>
    <w:rsid w:val="008771E4"/>
    <w:rsid w:val="00880000"/>
    <w:rsid w:val="0088030A"/>
    <w:rsid w:val="008804F0"/>
    <w:rsid w:val="00881E14"/>
    <w:rsid w:val="008821F3"/>
    <w:rsid w:val="00882A30"/>
    <w:rsid w:val="00882AD4"/>
    <w:rsid w:val="00882B5F"/>
    <w:rsid w:val="00882E34"/>
    <w:rsid w:val="00882FE4"/>
    <w:rsid w:val="00883FA8"/>
    <w:rsid w:val="00884612"/>
    <w:rsid w:val="00884A83"/>
    <w:rsid w:val="00884D7B"/>
    <w:rsid w:val="00884E9E"/>
    <w:rsid w:val="00885184"/>
    <w:rsid w:val="008853B1"/>
    <w:rsid w:val="008861BF"/>
    <w:rsid w:val="00886B7E"/>
    <w:rsid w:val="00887C00"/>
    <w:rsid w:val="008903C3"/>
    <w:rsid w:val="008904F2"/>
    <w:rsid w:val="008914FF"/>
    <w:rsid w:val="0089221B"/>
    <w:rsid w:val="008922A3"/>
    <w:rsid w:val="0089289F"/>
    <w:rsid w:val="00893CD5"/>
    <w:rsid w:val="008949D4"/>
    <w:rsid w:val="00894E2A"/>
    <w:rsid w:val="00894EA2"/>
    <w:rsid w:val="00895507"/>
    <w:rsid w:val="00895720"/>
    <w:rsid w:val="00895C90"/>
    <w:rsid w:val="00896580"/>
    <w:rsid w:val="00897211"/>
    <w:rsid w:val="00897327"/>
    <w:rsid w:val="0089751C"/>
    <w:rsid w:val="00897890"/>
    <w:rsid w:val="00897F4B"/>
    <w:rsid w:val="008A075E"/>
    <w:rsid w:val="008A2ABE"/>
    <w:rsid w:val="008A2C63"/>
    <w:rsid w:val="008A2CC5"/>
    <w:rsid w:val="008A4A5B"/>
    <w:rsid w:val="008A4C50"/>
    <w:rsid w:val="008A5BBD"/>
    <w:rsid w:val="008A5C22"/>
    <w:rsid w:val="008A5E47"/>
    <w:rsid w:val="008A6754"/>
    <w:rsid w:val="008A7E43"/>
    <w:rsid w:val="008A7F5D"/>
    <w:rsid w:val="008B044E"/>
    <w:rsid w:val="008B082D"/>
    <w:rsid w:val="008B0B5F"/>
    <w:rsid w:val="008B176B"/>
    <w:rsid w:val="008B219F"/>
    <w:rsid w:val="008B21C1"/>
    <w:rsid w:val="008B3EF9"/>
    <w:rsid w:val="008B4248"/>
    <w:rsid w:val="008B42FF"/>
    <w:rsid w:val="008B46D4"/>
    <w:rsid w:val="008B4C3F"/>
    <w:rsid w:val="008B4D4A"/>
    <w:rsid w:val="008B5A8B"/>
    <w:rsid w:val="008B6DC3"/>
    <w:rsid w:val="008B7172"/>
    <w:rsid w:val="008B7641"/>
    <w:rsid w:val="008B79A0"/>
    <w:rsid w:val="008B7E61"/>
    <w:rsid w:val="008C0840"/>
    <w:rsid w:val="008C0D30"/>
    <w:rsid w:val="008C15DC"/>
    <w:rsid w:val="008C1D31"/>
    <w:rsid w:val="008C26B1"/>
    <w:rsid w:val="008C28FD"/>
    <w:rsid w:val="008C2D11"/>
    <w:rsid w:val="008C2EE2"/>
    <w:rsid w:val="008C2EFF"/>
    <w:rsid w:val="008C30EA"/>
    <w:rsid w:val="008C35F6"/>
    <w:rsid w:val="008C37B4"/>
    <w:rsid w:val="008C3853"/>
    <w:rsid w:val="008C4A61"/>
    <w:rsid w:val="008C5523"/>
    <w:rsid w:val="008C62EA"/>
    <w:rsid w:val="008C67FF"/>
    <w:rsid w:val="008D0282"/>
    <w:rsid w:val="008D04DE"/>
    <w:rsid w:val="008D0C0A"/>
    <w:rsid w:val="008D1217"/>
    <w:rsid w:val="008D152F"/>
    <w:rsid w:val="008D2E4E"/>
    <w:rsid w:val="008D3831"/>
    <w:rsid w:val="008D3E96"/>
    <w:rsid w:val="008D3EAE"/>
    <w:rsid w:val="008D4ABB"/>
    <w:rsid w:val="008D5092"/>
    <w:rsid w:val="008D523F"/>
    <w:rsid w:val="008D5692"/>
    <w:rsid w:val="008D59AA"/>
    <w:rsid w:val="008D6447"/>
    <w:rsid w:val="008D73B2"/>
    <w:rsid w:val="008D749D"/>
    <w:rsid w:val="008D7762"/>
    <w:rsid w:val="008D7E8B"/>
    <w:rsid w:val="008E078E"/>
    <w:rsid w:val="008E1C7C"/>
    <w:rsid w:val="008E1F48"/>
    <w:rsid w:val="008E26B7"/>
    <w:rsid w:val="008E28AD"/>
    <w:rsid w:val="008E307B"/>
    <w:rsid w:val="008E3B2E"/>
    <w:rsid w:val="008E3C39"/>
    <w:rsid w:val="008E3D6E"/>
    <w:rsid w:val="008E4361"/>
    <w:rsid w:val="008E53A1"/>
    <w:rsid w:val="008E567A"/>
    <w:rsid w:val="008E62D1"/>
    <w:rsid w:val="008E6707"/>
    <w:rsid w:val="008E6893"/>
    <w:rsid w:val="008E70B3"/>
    <w:rsid w:val="008E72E1"/>
    <w:rsid w:val="008E7A83"/>
    <w:rsid w:val="008E7CEF"/>
    <w:rsid w:val="008E7D44"/>
    <w:rsid w:val="008F06C3"/>
    <w:rsid w:val="008F0FE1"/>
    <w:rsid w:val="008F134A"/>
    <w:rsid w:val="008F1678"/>
    <w:rsid w:val="008F1DED"/>
    <w:rsid w:val="008F2081"/>
    <w:rsid w:val="008F242F"/>
    <w:rsid w:val="008F252B"/>
    <w:rsid w:val="008F2646"/>
    <w:rsid w:val="008F26FB"/>
    <w:rsid w:val="008F27A0"/>
    <w:rsid w:val="008F3BCC"/>
    <w:rsid w:val="008F4272"/>
    <w:rsid w:val="008F4E80"/>
    <w:rsid w:val="008F5528"/>
    <w:rsid w:val="008F5609"/>
    <w:rsid w:val="008F5A93"/>
    <w:rsid w:val="008F5F20"/>
    <w:rsid w:val="008F6991"/>
    <w:rsid w:val="008F727C"/>
    <w:rsid w:val="00901194"/>
    <w:rsid w:val="00901E22"/>
    <w:rsid w:val="009029E4"/>
    <w:rsid w:val="00902CC9"/>
    <w:rsid w:val="00902D64"/>
    <w:rsid w:val="00902EC9"/>
    <w:rsid w:val="00903881"/>
    <w:rsid w:val="00903E77"/>
    <w:rsid w:val="009042A8"/>
    <w:rsid w:val="00904726"/>
    <w:rsid w:val="00904921"/>
    <w:rsid w:val="009057EE"/>
    <w:rsid w:val="00905950"/>
    <w:rsid w:val="00905990"/>
    <w:rsid w:val="0090663B"/>
    <w:rsid w:val="00907092"/>
    <w:rsid w:val="009077F6"/>
    <w:rsid w:val="00911482"/>
    <w:rsid w:val="00911A7E"/>
    <w:rsid w:val="00911C88"/>
    <w:rsid w:val="009120FC"/>
    <w:rsid w:val="009131A4"/>
    <w:rsid w:val="009131D5"/>
    <w:rsid w:val="00913256"/>
    <w:rsid w:val="009144E9"/>
    <w:rsid w:val="0091452B"/>
    <w:rsid w:val="00914ED5"/>
    <w:rsid w:val="009151A6"/>
    <w:rsid w:val="00915376"/>
    <w:rsid w:val="00915F5D"/>
    <w:rsid w:val="00916366"/>
    <w:rsid w:val="00916533"/>
    <w:rsid w:val="009168E1"/>
    <w:rsid w:val="009176CD"/>
    <w:rsid w:val="009177F2"/>
    <w:rsid w:val="00917E53"/>
    <w:rsid w:val="00920667"/>
    <w:rsid w:val="00920897"/>
    <w:rsid w:val="00920BAA"/>
    <w:rsid w:val="00921383"/>
    <w:rsid w:val="00921CE8"/>
    <w:rsid w:val="00921E06"/>
    <w:rsid w:val="00921E7C"/>
    <w:rsid w:val="0092208F"/>
    <w:rsid w:val="0092297A"/>
    <w:rsid w:val="00923349"/>
    <w:rsid w:val="00923AD0"/>
    <w:rsid w:val="009249F6"/>
    <w:rsid w:val="00924FB9"/>
    <w:rsid w:val="0092540E"/>
    <w:rsid w:val="00925CE9"/>
    <w:rsid w:val="00926A0F"/>
    <w:rsid w:val="009273E5"/>
    <w:rsid w:val="0092751B"/>
    <w:rsid w:val="0092763A"/>
    <w:rsid w:val="0092778F"/>
    <w:rsid w:val="00930C82"/>
    <w:rsid w:val="009311CB"/>
    <w:rsid w:val="00931235"/>
    <w:rsid w:val="00931831"/>
    <w:rsid w:val="0093221E"/>
    <w:rsid w:val="0093286F"/>
    <w:rsid w:val="009334DC"/>
    <w:rsid w:val="00933C63"/>
    <w:rsid w:val="0093402E"/>
    <w:rsid w:val="0093405E"/>
    <w:rsid w:val="009345F8"/>
    <w:rsid w:val="00934D50"/>
    <w:rsid w:val="00934FA1"/>
    <w:rsid w:val="00935305"/>
    <w:rsid w:val="0093546D"/>
    <w:rsid w:val="00936260"/>
    <w:rsid w:val="00936337"/>
    <w:rsid w:val="009368D8"/>
    <w:rsid w:val="00936A7D"/>
    <w:rsid w:val="009376A0"/>
    <w:rsid w:val="009376D6"/>
    <w:rsid w:val="00940176"/>
    <w:rsid w:val="00940192"/>
    <w:rsid w:val="0094022B"/>
    <w:rsid w:val="00940533"/>
    <w:rsid w:val="009405BC"/>
    <w:rsid w:val="00940659"/>
    <w:rsid w:val="00940FA8"/>
    <w:rsid w:val="009414F5"/>
    <w:rsid w:val="009419F3"/>
    <w:rsid w:val="00941A61"/>
    <w:rsid w:val="00941D6C"/>
    <w:rsid w:val="00942BAB"/>
    <w:rsid w:val="009435C4"/>
    <w:rsid w:val="009439E4"/>
    <w:rsid w:val="00943A50"/>
    <w:rsid w:val="00943DF2"/>
    <w:rsid w:val="00944E56"/>
    <w:rsid w:val="00946A3F"/>
    <w:rsid w:val="00946F41"/>
    <w:rsid w:val="00947255"/>
    <w:rsid w:val="00947CF0"/>
    <w:rsid w:val="009503C0"/>
    <w:rsid w:val="009514AE"/>
    <w:rsid w:val="009518DE"/>
    <w:rsid w:val="009519D3"/>
    <w:rsid w:val="0095321C"/>
    <w:rsid w:val="00955D05"/>
    <w:rsid w:val="00955E34"/>
    <w:rsid w:val="00957AA3"/>
    <w:rsid w:val="009604B9"/>
    <w:rsid w:val="009615FB"/>
    <w:rsid w:val="00961635"/>
    <w:rsid w:val="009616A2"/>
    <w:rsid w:val="00961FBE"/>
    <w:rsid w:val="00962232"/>
    <w:rsid w:val="009629B8"/>
    <w:rsid w:val="00962EB1"/>
    <w:rsid w:val="00963640"/>
    <w:rsid w:val="00963D16"/>
    <w:rsid w:val="00963F77"/>
    <w:rsid w:val="00963F8F"/>
    <w:rsid w:val="00964456"/>
    <w:rsid w:val="00964717"/>
    <w:rsid w:val="00965090"/>
    <w:rsid w:val="009652EB"/>
    <w:rsid w:val="0096561E"/>
    <w:rsid w:val="0097009C"/>
    <w:rsid w:val="00970784"/>
    <w:rsid w:val="00970E46"/>
    <w:rsid w:val="00971342"/>
    <w:rsid w:val="00971347"/>
    <w:rsid w:val="00971615"/>
    <w:rsid w:val="0097259F"/>
    <w:rsid w:val="0097279E"/>
    <w:rsid w:val="00972A77"/>
    <w:rsid w:val="00973F0E"/>
    <w:rsid w:val="00974589"/>
    <w:rsid w:val="009749EC"/>
    <w:rsid w:val="00974EDF"/>
    <w:rsid w:val="0097518D"/>
    <w:rsid w:val="00975386"/>
    <w:rsid w:val="0097581E"/>
    <w:rsid w:val="00975AD7"/>
    <w:rsid w:val="009762D9"/>
    <w:rsid w:val="0097637A"/>
    <w:rsid w:val="00976B20"/>
    <w:rsid w:val="00977C33"/>
    <w:rsid w:val="009816B7"/>
    <w:rsid w:val="00981FE9"/>
    <w:rsid w:val="009820A1"/>
    <w:rsid w:val="00982190"/>
    <w:rsid w:val="00983538"/>
    <w:rsid w:val="00984916"/>
    <w:rsid w:val="00985241"/>
    <w:rsid w:val="009858CE"/>
    <w:rsid w:val="009858DB"/>
    <w:rsid w:val="00985B82"/>
    <w:rsid w:val="00986291"/>
    <w:rsid w:val="009862FA"/>
    <w:rsid w:val="00986F98"/>
    <w:rsid w:val="00990103"/>
    <w:rsid w:val="00990AAD"/>
    <w:rsid w:val="00990EB5"/>
    <w:rsid w:val="00992A00"/>
    <w:rsid w:val="00992C4C"/>
    <w:rsid w:val="00992CF6"/>
    <w:rsid w:val="00992F29"/>
    <w:rsid w:val="009933CF"/>
    <w:rsid w:val="009933E3"/>
    <w:rsid w:val="009942AF"/>
    <w:rsid w:val="009946CE"/>
    <w:rsid w:val="00994993"/>
    <w:rsid w:val="0099508B"/>
    <w:rsid w:val="0099598B"/>
    <w:rsid w:val="009959EA"/>
    <w:rsid w:val="0099621C"/>
    <w:rsid w:val="009965E1"/>
    <w:rsid w:val="00996C7C"/>
    <w:rsid w:val="00997611"/>
    <w:rsid w:val="009A0375"/>
    <w:rsid w:val="009A091D"/>
    <w:rsid w:val="009A145A"/>
    <w:rsid w:val="009A1922"/>
    <w:rsid w:val="009A19BA"/>
    <w:rsid w:val="009A2188"/>
    <w:rsid w:val="009A2505"/>
    <w:rsid w:val="009A2F3A"/>
    <w:rsid w:val="009A2F8F"/>
    <w:rsid w:val="009A3AE9"/>
    <w:rsid w:val="009A3E50"/>
    <w:rsid w:val="009A3FD9"/>
    <w:rsid w:val="009A4FC7"/>
    <w:rsid w:val="009A60D1"/>
    <w:rsid w:val="009A64F5"/>
    <w:rsid w:val="009A6DEB"/>
    <w:rsid w:val="009A72A6"/>
    <w:rsid w:val="009A7E30"/>
    <w:rsid w:val="009B06AA"/>
    <w:rsid w:val="009B0B62"/>
    <w:rsid w:val="009B10C6"/>
    <w:rsid w:val="009B1986"/>
    <w:rsid w:val="009B2102"/>
    <w:rsid w:val="009B2444"/>
    <w:rsid w:val="009B25D8"/>
    <w:rsid w:val="009B2C65"/>
    <w:rsid w:val="009B3202"/>
    <w:rsid w:val="009B328B"/>
    <w:rsid w:val="009B3C6E"/>
    <w:rsid w:val="009B4859"/>
    <w:rsid w:val="009B5ACB"/>
    <w:rsid w:val="009B6885"/>
    <w:rsid w:val="009B68A0"/>
    <w:rsid w:val="009B74B3"/>
    <w:rsid w:val="009C04F9"/>
    <w:rsid w:val="009C07E3"/>
    <w:rsid w:val="009C1087"/>
    <w:rsid w:val="009C12DC"/>
    <w:rsid w:val="009C1544"/>
    <w:rsid w:val="009C252D"/>
    <w:rsid w:val="009C25CA"/>
    <w:rsid w:val="009C3D10"/>
    <w:rsid w:val="009C4520"/>
    <w:rsid w:val="009C4A8D"/>
    <w:rsid w:val="009C4BD2"/>
    <w:rsid w:val="009C5047"/>
    <w:rsid w:val="009C5274"/>
    <w:rsid w:val="009C5437"/>
    <w:rsid w:val="009C5CF7"/>
    <w:rsid w:val="009C6067"/>
    <w:rsid w:val="009C607F"/>
    <w:rsid w:val="009C6640"/>
    <w:rsid w:val="009C66A0"/>
    <w:rsid w:val="009C6D6F"/>
    <w:rsid w:val="009C793F"/>
    <w:rsid w:val="009D0835"/>
    <w:rsid w:val="009D0957"/>
    <w:rsid w:val="009D0D67"/>
    <w:rsid w:val="009D0DB0"/>
    <w:rsid w:val="009D0EBA"/>
    <w:rsid w:val="009D0F48"/>
    <w:rsid w:val="009D1E7F"/>
    <w:rsid w:val="009D2F78"/>
    <w:rsid w:val="009D3025"/>
    <w:rsid w:val="009D3465"/>
    <w:rsid w:val="009D3605"/>
    <w:rsid w:val="009D3F2E"/>
    <w:rsid w:val="009D456F"/>
    <w:rsid w:val="009D47A5"/>
    <w:rsid w:val="009D6988"/>
    <w:rsid w:val="009D6D20"/>
    <w:rsid w:val="009E03DA"/>
    <w:rsid w:val="009E0C21"/>
    <w:rsid w:val="009E16B8"/>
    <w:rsid w:val="009E3008"/>
    <w:rsid w:val="009E3020"/>
    <w:rsid w:val="009E354A"/>
    <w:rsid w:val="009E38AA"/>
    <w:rsid w:val="009E3AC3"/>
    <w:rsid w:val="009E42F4"/>
    <w:rsid w:val="009E43B5"/>
    <w:rsid w:val="009E45D8"/>
    <w:rsid w:val="009E56E2"/>
    <w:rsid w:val="009E665D"/>
    <w:rsid w:val="009E6DCA"/>
    <w:rsid w:val="009E79D3"/>
    <w:rsid w:val="009E7E0D"/>
    <w:rsid w:val="009F0194"/>
    <w:rsid w:val="009F02AA"/>
    <w:rsid w:val="009F0676"/>
    <w:rsid w:val="009F091C"/>
    <w:rsid w:val="009F09D7"/>
    <w:rsid w:val="009F0F2C"/>
    <w:rsid w:val="009F105B"/>
    <w:rsid w:val="009F1B6E"/>
    <w:rsid w:val="009F2475"/>
    <w:rsid w:val="009F2B61"/>
    <w:rsid w:val="009F2B72"/>
    <w:rsid w:val="009F348D"/>
    <w:rsid w:val="009F4265"/>
    <w:rsid w:val="009F4567"/>
    <w:rsid w:val="009F49CD"/>
    <w:rsid w:val="009F4E69"/>
    <w:rsid w:val="009F4EAD"/>
    <w:rsid w:val="009F6EE5"/>
    <w:rsid w:val="009F6FE8"/>
    <w:rsid w:val="00A000D6"/>
    <w:rsid w:val="00A01091"/>
    <w:rsid w:val="00A015C2"/>
    <w:rsid w:val="00A017A7"/>
    <w:rsid w:val="00A01915"/>
    <w:rsid w:val="00A020C0"/>
    <w:rsid w:val="00A021B0"/>
    <w:rsid w:val="00A02402"/>
    <w:rsid w:val="00A0250B"/>
    <w:rsid w:val="00A02A38"/>
    <w:rsid w:val="00A02B2A"/>
    <w:rsid w:val="00A02BA7"/>
    <w:rsid w:val="00A03506"/>
    <w:rsid w:val="00A038DC"/>
    <w:rsid w:val="00A03C42"/>
    <w:rsid w:val="00A04BC5"/>
    <w:rsid w:val="00A056F2"/>
    <w:rsid w:val="00A05CBB"/>
    <w:rsid w:val="00A0759D"/>
    <w:rsid w:val="00A077BA"/>
    <w:rsid w:val="00A102A4"/>
    <w:rsid w:val="00A123DC"/>
    <w:rsid w:val="00A12B19"/>
    <w:rsid w:val="00A12C52"/>
    <w:rsid w:val="00A13588"/>
    <w:rsid w:val="00A13774"/>
    <w:rsid w:val="00A14887"/>
    <w:rsid w:val="00A14D8C"/>
    <w:rsid w:val="00A156CC"/>
    <w:rsid w:val="00A15810"/>
    <w:rsid w:val="00A158B0"/>
    <w:rsid w:val="00A15BA4"/>
    <w:rsid w:val="00A16382"/>
    <w:rsid w:val="00A16862"/>
    <w:rsid w:val="00A16919"/>
    <w:rsid w:val="00A17084"/>
    <w:rsid w:val="00A176AF"/>
    <w:rsid w:val="00A1799C"/>
    <w:rsid w:val="00A17DB4"/>
    <w:rsid w:val="00A20022"/>
    <w:rsid w:val="00A209F1"/>
    <w:rsid w:val="00A2119F"/>
    <w:rsid w:val="00A218A4"/>
    <w:rsid w:val="00A21999"/>
    <w:rsid w:val="00A2370E"/>
    <w:rsid w:val="00A23BDC"/>
    <w:rsid w:val="00A249A2"/>
    <w:rsid w:val="00A257F1"/>
    <w:rsid w:val="00A26CEE"/>
    <w:rsid w:val="00A26CFE"/>
    <w:rsid w:val="00A278EF"/>
    <w:rsid w:val="00A27D4E"/>
    <w:rsid w:val="00A30108"/>
    <w:rsid w:val="00A30385"/>
    <w:rsid w:val="00A3067C"/>
    <w:rsid w:val="00A3093F"/>
    <w:rsid w:val="00A30DFE"/>
    <w:rsid w:val="00A31C8B"/>
    <w:rsid w:val="00A326D3"/>
    <w:rsid w:val="00A32863"/>
    <w:rsid w:val="00A32F72"/>
    <w:rsid w:val="00A33272"/>
    <w:rsid w:val="00A33577"/>
    <w:rsid w:val="00A3383A"/>
    <w:rsid w:val="00A33848"/>
    <w:rsid w:val="00A3594F"/>
    <w:rsid w:val="00A35F0D"/>
    <w:rsid w:val="00A3609E"/>
    <w:rsid w:val="00A362D2"/>
    <w:rsid w:val="00A36A45"/>
    <w:rsid w:val="00A371DA"/>
    <w:rsid w:val="00A37909"/>
    <w:rsid w:val="00A40055"/>
    <w:rsid w:val="00A408DC"/>
    <w:rsid w:val="00A4146E"/>
    <w:rsid w:val="00A4153C"/>
    <w:rsid w:val="00A41D9C"/>
    <w:rsid w:val="00A42656"/>
    <w:rsid w:val="00A42919"/>
    <w:rsid w:val="00A436C6"/>
    <w:rsid w:val="00A44497"/>
    <w:rsid w:val="00A444A4"/>
    <w:rsid w:val="00A452CF"/>
    <w:rsid w:val="00A458E2"/>
    <w:rsid w:val="00A45EF4"/>
    <w:rsid w:val="00A4605B"/>
    <w:rsid w:val="00A46069"/>
    <w:rsid w:val="00A4644D"/>
    <w:rsid w:val="00A465F6"/>
    <w:rsid w:val="00A46617"/>
    <w:rsid w:val="00A46651"/>
    <w:rsid w:val="00A46B6B"/>
    <w:rsid w:val="00A46E59"/>
    <w:rsid w:val="00A4702B"/>
    <w:rsid w:val="00A4789A"/>
    <w:rsid w:val="00A50122"/>
    <w:rsid w:val="00A5037D"/>
    <w:rsid w:val="00A50EB2"/>
    <w:rsid w:val="00A51655"/>
    <w:rsid w:val="00A51AD0"/>
    <w:rsid w:val="00A51EE0"/>
    <w:rsid w:val="00A5215D"/>
    <w:rsid w:val="00A52891"/>
    <w:rsid w:val="00A52D58"/>
    <w:rsid w:val="00A533F7"/>
    <w:rsid w:val="00A5398D"/>
    <w:rsid w:val="00A54B61"/>
    <w:rsid w:val="00A55F7C"/>
    <w:rsid w:val="00A563F7"/>
    <w:rsid w:val="00A56E71"/>
    <w:rsid w:val="00A57353"/>
    <w:rsid w:val="00A57358"/>
    <w:rsid w:val="00A60F97"/>
    <w:rsid w:val="00A61CE8"/>
    <w:rsid w:val="00A61FFD"/>
    <w:rsid w:val="00A62421"/>
    <w:rsid w:val="00A625DC"/>
    <w:rsid w:val="00A62C2D"/>
    <w:rsid w:val="00A63AA6"/>
    <w:rsid w:val="00A63CBF"/>
    <w:rsid w:val="00A64237"/>
    <w:rsid w:val="00A64DA4"/>
    <w:rsid w:val="00A654F1"/>
    <w:rsid w:val="00A655AE"/>
    <w:rsid w:val="00A65EF1"/>
    <w:rsid w:val="00A70B03"/>
    <w:rsid w:val="00A70ECA"/>
    <w:rsid w:val="00A71081"/>
    <w:rsid w:val="00A71984"/>
    <w:rsid w:val="00A72E6C"/>
    <w:rsid w:val="00A733B3"/>
    <w:rsid w:val="00A733CC"/>
    <w:rsid w:val="00A74151"/>
    <w:rsid w:val="00A7440C"/>
    <w:rsid w:val="00A7447D"/>
    <w:rsid w:val="00A74611"/>
    <w:rsid w:val="00A746C7"/>
    <w:rsid w:val="00A75467"/>
    <w:rsid w:val="00A754E3"/>
    <w:rsid w:val="00A75592"/>
    <w:rsid w:val="00A76C7F"/>
    <w:rsid w:val="00A77C07"/>
    <w:rsid w:val="00A77CAD"/>
    <w:rsid w:val="00A77F18"/>
    <w:rsid w:val="00A81663"/>
    <w:rsid w:val="00A81778"/>
    <w:rsid w:val="00A81E53"/>
    <w:rsid w:val="00A823FC"/>
    <w:rsid w:val="00A82A93"/>
    <w:rsid w:val="00A82BFF"/>
    <w:rsid w:val="00A831D6"/>
    <w:rsid w:val="00A835AE"/>
    <w:rsid w:val="00A83E23"/>
    <w:rsid w:val="00A83EC9"/>
    <w:rsid w:val="00A85A5F"/>
    <w:rsid w:val="00A868CC"/>
    <w:rsid w:val="00A86BD4"/>
    <w:rsid w:val="00A86EC2"/>
    <w:rsid w:val="00A87800"/>
    <w:rsid w:val="00A87D89"/>
    <w:rsid w:val="00A87FF7"/>
    <w:rsid w:val="00A9082F"/>
    <w:rsid w:val="00A908C5"/>
    <w:rsid w:val="00A90C9C"/>
    <w:rsid w:val="00A90E41"/>
    <w:rsid w:val="00A90EC9"/>
    <w:rsid w:val="00A911F7"/>
    <w:rsid w:val="00A9176B"/>
    <w:rsid w:val="00A91CFA"/>
    <w:rsid w:val="00A9215D"/>
    <w:rsid w:val="00A9218E"/>
    <w:rsid w:val="00A92E19"/>
    <w:rsid w:val="00A931A2"/>
    <w:rsid w:val="00A93201"/>
    <w:rsid w:val="00A935DA"/>
    <w:rsid w:val="00A94131"/>
    <w:rsid w:val="00A94C62"/>
    <w:rsid w:val="00A95175"/>
    <w:rsid w:val="00A958E1"/>
    <w:rsid w:val="00A969BD"/>
    <w:rsid w:val="00A96BE6"/>
    <w:rsid w:val="00AA0115"/>
    <w:rsid w:val="00AA15AA"/>
    <w:rsid w:val="00AA1C3D"/>
    <w:rsid w:val="00AA2DEF"/>
    <w:rsid w:val="00AA34B7"/>
    <w:rsid w:val="00AA3701"/>
    <w:rsid w:val="00AA4EE6"/>
    <w:rsid w:val="00AA50B0"/>
    <w:rsid w:val="00AA547B"/>
    <w:rsid w:val="00AA66C5"/>
    <w:rsid w:val="00AA72B9"/>
    <w:rsid w:val="00AA774A"/>
    <w:rsid w:val="00AB0553"/>
    <w:rsid w:val="00AB079C"/>
    <w:rsid w:val="00AB0E23"/>
    <w:rsid w:val="00AB0E6C"/>
    <w:rsid w:val="00AB0F6D"/>
    <w:rsid w:val="00AB151C"/>
    <w:rsid w:val="00AB1982"/>
    <w:rsid w:val="00AB1F12"/>
    <w:rsid w:val="00AB405B"/>
    <w:rsid w:val="00AB4910"/>
    <w:rsid w:val="00AB5DAF"/>
    <w:rsid w:val="00AB6022"/>
    <w:rsid w:val="00AC078D"/>
    <w:rsid w:val="00AC16CA"/>
    <w:rsid w:val="00AC1732"/>
    <w:rsid w:val="00AC175D"/>
    <w:rsid w:val="00AC18D5"/>
    <w:rsid w:val="00AC195A"/>
    <w:rsid w:val="00AC1DA8"/>
    <w:rsid w:val="00AC2676"/>
    <w:rsid w:val="00AC2BCE"/>
    <w:rsid w:val="00AC3381"/>
    <w:rsid w:val="00AC3F7A"/>
    <w:rsid w:val="00AC3F8E"/>
    <w:rsid w:val="00AC421F"/>
    <w:rsid w:val="00AC46E8"/>
    <w:rsid w:val="00AC47E6"/>
    <w:rsid w:val="00AC48CC"/>
    <w:rsid w:val="00AC4FE8"/>
    <w:rsid w:val="00AC5D20"/>
    <w:rsid w:val="00AC7628"/>
    <w:rsid w:val="00AD0A1C"/>
    <w:rsid w:val="00AD0C22"/>
    <w:rsid w:val="00AD0FCF"/>
    <w:rsid w:val="00AD17A1"/>
    <w:rsid w:val="00AD1854"/>
    <w:rsid w:val="00AD21AC"/>
    <w:rsid w:val="00AD2B29"/>
    <w:rsid w:val="00AD2C82"/>
    <w:rsid w:val="00AD4438"/>
    <w:rsid w:val="00AD4FC4"/>
    <w:rsid w:val="00AD51C0"/>
    <w:rsid w:val="00AD525E"/>
    <w:rsid w:val="00AD6293"/>
    <w:rsid w:val="00AD6B6E"/>
    <w:rsid w:val="00AD6FE6"/>
    <w:rsid w:val="00AD72C5"/>
    <w:rsid w:val="00AD76E0"/>
    <w:rsid w:val="00AE092F"/>
    <w:rsid w:val="00AE0D43"/>
    <w:rsid w:val="00AE1659"/>
    <w:rsid w:val="00AE1844"/>
    <w:rsid w:val="00AE27D2"/>
    <w:rsid w:val="00AE4505"/>
    <w:rsid w:val="00AE4A0C"/>
    <w:rsid w:val="00AE4AE7"/>
    <w:rsid w:val="00AE55CB"/>
    <w:rsid w:val="00AE63C5"/>
    <w:rsid w:val="00AE6456"/>
    <w:rsid w:val="00AE6679"/>
    <w:rsid w:val="00AE6CB2"/>
    <w:rsid w:val="00AE6F9D"/>
    <w:rsid w:val="00AE6FBB"/>
    <w:rsid w:val="00AE741B"/>
    <w:rsid w:val="00AE7747"/>
    <w:rsid w:val="00AE7B53"/>
    <w:rsid w:val="00AE7B90"/>
    <w:rsid w:val="00AF0049"/>
    <w:rsid w:val="00AF017F"/>
    <w:rsid w:val="00AF17A4"/>
    <w:rsid w:val="00AF18AA"/>
    <w:rsid w:val="00AF237C"/>
    <w:rsid w:val="00AF24F6"/>
    <w:rsid w:val="00AF2999"/>
    <w:rsid w:val="00AF2EF7"/>
    <w:rsid w:val="00AF2FFB"/>
    <w:rsid w:val="00AF31D4"/>
    <w:rsid w:val="00AF334A"/>
    <w:rsid w:val="00AF5E5D"/>
    <w:rsid w:val="00AF5E82"/>
    <w:rsid w:val="00AF7B7E"/>
    <w:rsid w:val="00B0004B"/>
    <w:rsid w:val="00B013DA"/>
    <w:rsid w:val="00B01ECA"/>
    <w:rsid w:val="00B021A9"/>
    <w:rsid w:val="00B02540"/>
    <w:rsid w:val="00B027DD"/>
    <w:rsid w:val="00B0343A"/>
    <w:rsid w:val="00B036A3"/>
    <w:rsid w:val="00B03952"/>
    <w:rsid w:val="00B03C1F"/>
    <w:rsid w:val="00B04164"/>
    <w:rsid w:val="00B0489C"/>
    <w:rsid w:val="00B04E2E"/>
    <w:rsid w:val="00B0506D"/>
    <w:rsid w:val="00B054DB"/>
    <w:rsid w:val="00B067F3"/>
    <w:rsid w:val="00B069CA"/>
    <w:rsid w:val="00B06B15"/>
    <w:rsid w:val="00B107AD"/>
    <w:rsid w:val="00B108FE"/>
    <w:rsid w:val="00B10AEC"/>
    <w:rsid w:val="00B10B28"/>
    <w:rsid w:val="00B10C27"/>
    <w:rsid w:val="00B110B8"/>
    <w:rsid w:val="00B114F4"/>
    <w:rsid w:val="00B11B47"/>
    <w:rsid w:val="00B11EEF"/>
    <w:rsid w:val="00B12074"/>
    <w:rsid w:val="00B123BA"/>
    <w:rsid w:val="00B128B4"/>
    <w:rsid w:val="00B12A56"/>
    <w:rsid w:val="00B138D8"/>
    <w:rsid w:val="00B1391F"/>
    <w:rsid w:val="00B139D0"/>
    <w:rsid w:val="00B13EC4"/>
    <w:rsid w:val="00B14A9A"/>
    <w:rsid w:val="00B14EE2"/>
    <w:rsid w:val="00B15EBD"/>
    <w:rsid w:val="00B17013"/>
    <w:rsid w:val="00B202BE"/>
    <w:rsid w:val="00B2106D"/>
    <w:rsid w:val="00B2115B"/>
    <w:rsid w:val="00B212DD"/>
    <w:rsid w:val="00B21508"/>
    <w:rsid w:val="00B21D8B"/>
    <w:rsid w:val="00B22860"/>
    <w:rsid w:val="00B22CEB"/>
    <w:rsid w:val="00B231CD"/>
    <w:rsid w:val="00B23D24"/>
    <w:rsid w:val="00B24C58"/>
    <w:rsid w:val="00B260C1"/>
    <w:rsid w:val="00B260DD"/>
    <w:rsid w:val="00B26643"/>
    <w:rsid w:val="00B269F7"/>
    <w:rsid w:val="00B26A84"/>
    <w:rsid w:val="00B26BA6"/>
    <w:rsid w:val="00B27590"/>
    <w:rsid w:val="00B27B6F"/>
    <w:rsid w:val="00B27C05"/>
    <w:rsid w:val="00B30216"/>
    <w:rsid w:val="00B30447"/>
    <w:rsid w:val="00B30551"/>
    <w:rsid w:val="00B30F81"/>
    <w:rsid w:val="00B310D1"/>
    <w:rsid w:val="00B3111C"/>
    <w:rsid w:val="00B3166D"/>
    <w:rsid w:val="00B317B9"/>
    <w:rsid w:val="00B31AA3"/>
    <w:rsid w:val="00B31F15"/>
    <w:rsid w:val="00B323C8"/>
    <w:rsid w:val="00B32B61"/>
    <w:rsid w:val="00B33616"/>
    <w:rsid w:val="00B33F2A"/>
    <w:rsid w:val="00B371BF"/>
    <w:rsid w:val="00B37AAA"/>
    <w:rsid w:val="00B40A23"/>
    <w:rsid w:val="00B4148B"/>
    <w:rsid w:val="00B41A20"/>
    <w:rsid w:val="00B41BBF"/>
    <w:rsid w:val="00B41C09"/>
    <w:rsid w:val="00B41F07"/>
    <w:rsid w:val="00B4205B"/>
    <w:rsid w:val="00B426F6"/>
    <w:rsid w:val="00B42DA7"/>
    <w:rsid w:val="00B43DA9"/>
    <w:rsid w:val="00B44D35"/>
    <w:rsid w:val="00B455A8"/>
    <w:rsid w:val="00B46071"/>
    <w:rsid w:val="00B4621A"/>
    <w:rsid w:val="00B523CD"/>
    <w:rsid w:val="00B53528"/>
    <w:rsid w:val="00B53887"/>
    <w:rsid w:val="00B53DC4"/>
    <w:rsid w:val="00B54D12"/>
    <w:rsid w:val="00B55E3D"/>
    <w:rsid w:val="00B5681F"/>
    <w:rsid w:val="00B56B77"/>
    <w:rsid w:val="00B57208"/>
    <w:rsid w:val="00B573A5"/>
    <w:rsid w:val="00B5786F"/>
    <w:rsid w:val="00B60145"/>
    <w:rsid w:val="00B61078"/>
    <w:rsid w:val="00B61C61"/>
    <w:rsid w:val="00B623AF"/>
    <w:rsid w:val="00B626C7"/>
    <w:rsid w:val="00B627E1"/>
    <w:rsid w:val="00B62D75"/>
    <w:rsid w:val="00B62F53"/>
    <w:rsid w:val="00B6320E"/>
    <w:rsid w:val="00B63BC8"/>
    <w:rsid w:val="00B642BF"/>
    <w:rsid w:val="00B64705"/>
    <w:rsid w:val="00B64841"/>
    <w:rsid w:val="00B6491A"/>
    <w:rsid w:val="00B64BA9"/>
    <w:rsid w:val="00B655A1"/>
    <w:rsid w:val="00B6571A"/>
    <w:rsid w:val="00B6617F"/>
    <w:rsid w:val="00B67592"/>
    <w:rsid w:val="00B6773D"/>
    <w:rsid w:val="00B678C9"/>
    <w:rsid w:val="00B6798D"/>
    <w:rsid w:val="00B7154F"/>
    <w:rsid w:val="00B71890"/>
    <w:rsid w:val="00B71A6F"/>
    <w:rsid w:val="00B71AA8"/>
    <w:rsid w:val="00B71E46"/>
    <w:rsid w:val="00B72402"/>
    <w:rsid w:val="00B7249A"/>
    <w:rsid w:val="00B72B66"/>
    <w:rsid w:val="00B72C7D"/>
    <w:rsid w:val="00B72CE6"/>
    <w:rsid w:val="00B72EA0"/>
    <w:rsid w:val="00B733D7"/>
    <w:rsid w:val="00B736C1"/>
    <w:rsid w:val="00B7370A"/>
    <w:rsid w:val="00B7399D"/>
    <w:rsid w:val="00B73E6B"/>
    <w:rsid w:val="00B74044"/>
    <w:rsid w:val="00B74106"/>
    <w:rsid w:val="00B74695"/>
    <w:rsid w:val="00B74AED"/>
    <w:rsid w:val="00B74C20"/>
    <w:rsid w:val="00B75274"/>
    <w:rsid w:val="00B753F5"/>
    <w:rsid w:val="00B75696"/>
    <w:rsid w:val="00B7577C"/>
    <w:rsid w:val="00B75991"/>
    <w:rsid w:val="00B75A3D"/>
    <w:rsid w:val="00B75C7F"/>
    <w:rsid w:val="00B76037"/>
    <w:rsid w:val="00B761E9"/>
    <w:rsid w:val="00B76563"/>
    <w:rsid w:val="00B7682E"/>
    <w:rsid w:val="00B77E2F"/>
    <w:rsid w:val="00B80509"/>
    <w:rsid w:val="00B80966"/>
    <w:rsid w:val="00B8105F"/>
    <w:rsid w:val="00B8141D"/>
    <w:rsid w:val="00B8182D"/>
    <w:rsid w:val="00B82AC3"/>
    <w:rsid w:val="00B82C8B"/>
    <w:rsid w:val="00B82CE3"/>
    <w:rsid w:val="00B83272"/>
    <w:rsid w:val="00B8391E"/>
    <w:rsid w:val="00B84DD3"/>
    <w:rsid w:val="00B84E10"/>
    <w:rsid w:val="00B8542B"/>
    <w:rsid w:val="00B854A1"/>
    <w:rsid w:val="00B858A4"/>
    <w:rsid w:val="00B858E4"/>
    <w:rsid w:val="00B85AC8"/>
    <w:rsid w:val="00B86403"/>
    <w:rsid w:val="00B8659F"/>
    <w:rsid w:val="00B8677A"/>
    <w:rsid w:val="00B86880"/>
    <w:rsid w:val="00B87052"/>
    <w:rsid w:val="00B87AF1"/>
    <w:rsid w:val="00B87CF2"/>
    <w:rsid w:val="00B9063C"/>
    <w:rsid w:val="00B90671"/>
    <w:rsid w:val="00B90B1C"/>
    <w:rsid w:val="00B91366"/>
    <w:rsid w:val="00B9191B"/>
    <w:rsid w:val="00B928C5"/>
    <w:rsid w:val="00B92CEA"/>
    <w:rsid w:val="00B93D83"/>
    <w:rsid w:val="00B93DA6"/>
    <w:rsid w:val="00B93F03"/>
    <w:rsid w:val="00B944D5"/>
    <w:rsid w:val="00B94539"/>
    <w:rsid w:val="00B9524E"/>
    <w:rsid w:val="00B9584C"/>
    <w:rsid w:val="00B95CE4"/>
    <w:rsid w:val="00B95DCE"/>
    <w:rsid w:val="00B971FA"/>
    <w:rsid w:val="00B976A3"/>
    <w:rsid w:val="00B97921"/>
    <w:rsid w:val="00BA0046"/>
    <w:rsid w:val="00BA0646"/>
    <w:rsid w:val="00BA064C"/>
    <w:rsid w:val="00BA09D4"/>
    <w:rsid w:val="00BA13E1"/>
    <w:rsid w:val="00BA1CE8"/>
    <w:rsid w:val="00BA1F63"/>
    <w:rsid w:val="00BA266B"/>
    <w:rsid w:val="00BA284E"/>
    <w:rsid w:val="00BA2EE4"/>
    <w:rsid w:val="00BA5278"/>
    <w:rsid w:val="00BA5788"/>
    <w:rsid w:val="00BA59B0"/>
    <w:rsid w:val="00BA60A8"/>
    <w:rsid w:val="00BA61E3"/>
    <w:rsid w:val="00BA796A"/>
    <w:rsid w:val="00BA7CF9"/>
    <w:rsid w:val="00BB001D"/>
    <w:rsid w:val="00BB00E7"/>
    <w:rsid w:val="00BB00EA"/>
    <w:rsid w:val="00BB1992"/>
    <w:rsid w:val="00BB1FB9"/>
    <w:rsid w:val="00BB3866"/>
    <w:rsid w:val="00BB3EB4"/>
    <w:rsid w:val="00BB40F1"/>
    <w:rsid w:val="00BB4361"/>
    <w:rsid w:val="00BB4828"/>
    <w:rsid w:val="00BB5EC9"/>
    <w:rsid w:val="00BB6AD3"/>
    <w:rsid w:val="00BB745C"/>
    <w:rsid w:val="00BB7663"/>
    <w:rsid w:val="00BB7784"/>
    <w:rsid w:val="00BB7FB8"/>
    <w:rsid w:val="00BC0598"/>
    <w:rsid w:val="00BC0C36"/>
    <w:rsid w:val="00BC19B7"/>
    <w:rsid w:val="00BC3BA0"/>
    <w:rsid w:val="00BC5146"/>
    <w:rsid w:val="00BC5D70"/>
    <w:rsid w:val="00BC6A4E"/>
    <w:rsid w:val="00BC7A3D"/>
    <w:rsid w:val="00BD004E"/>
    <w:rsid w:val="00BD0A28"/>
    <w:rsid w:val="00BD1A63"/>
    <w:rsid w:val="00BD1E6F"/>
    <w:rsid w:val="00BD223E"/>
    <w:rsid w:val="00BD3615"/>
    <w:rsid w:val="00BD3811"/>
    <w:rsid w:val="00BD3817"/>
    <w:rsid w:val="00BD3997"/>
    <w:rsid w:val="00BD3A1A"/>
    <w:rsid w:val="00BD3B28"/>
    <w:rsid w:val="00BD40C6"/>
    <w:rsid w:val="00BD43F2"/>
    <w:rsid w:val="00BD43F3"/>
    <w:rsid w:val="00BD4412"/>
    <w:rsid w:val="00BD5A21"/>
    <w:rsid w:val="00BD660B"/>
    <w:rsid w:val="00BD68AC"/>
    <w:rsid w:val="00BD71F5"/>
    <w:rsid w:val="00BD7276"/>
    <w:rsid w:val="00BD79A0"/>
    <w:rsid w:val="00BD7C2E"/>
    <w:rsid w:val="00BE0555"/>
    <w:rsid w:val="00BE1666"/>
    <w:rsid w:val="00BE2AD0"/>
    <w:rsid w:val="00BE3E0D"/>
    <w:rsid w:val="00BE40EB"/>
    <w:rsid w:val="00BE4367"/>
    <w:rsid w:val="00BE475F"/>
    <w:rsid w:val="00BE6013"/>
    <w:rsid w:val="00BE6777"/>
    <w:rsid w:val="00BE6959"/>
    <w:rsid w:val="00BE6AA1"/>
    <w:rsid w:val="00BE6DD6"/>
    <w:rsid w:val="00BE77D0"/>
    <w:rsid w:val="00BE7A03"/>
    <w:rsid w:val="00BE7A06"/>
    <w:rsid w:val="00BE7F3A"/>
    <w:rsid w:val="00BE7F43"/>
    <w:rsid w:val="00BE7F87"/>
    <w:rsid w:val="00BF068A"/>
    <w:rsid w:val="00BF1B3C"/>
    <w:rsid w:val="00BF1B74"/>
    <w:rsid w:val="00BF1F54"/>
    <w:rsid w:val="00BF248C"/>
    <w:rsid w:val="00BF28DB"/>
    <w:rsid w:val="00BF2E6A"/>
    <w:rsid w:val="00BF3006"/>
    <w:rsid w:val="00BF3C10"/>
    <w:rsid w:val="00BF4086"/>
    <w:rsid w:val="00BF4595"/>
    <w:rsid w:val="00BF47D6"/>
    <w:rsid w:val="00BF5021"/>
    <w:rsid w:val="00BF5B75"/>
    <w:rsid w:val="00BF6518"/>
    <w:rsid w:val="00BF666E"/>
    <w:rsid w:val="00BF66FC"/>
    <w:rsid w:val="00BF6DB4"/>
    <w:rsid w:val="00BF7A25"/>
    <w:rsid w:val="00BF7A5C"/>
    <w:rsid w:val="00C004E0"/>
    <w:rsid w:val="00C0051E"/>
    <w:rsid w:val="00C00ADF"/>
    <w:rsid w:val="00C01ACD"/>
    <w:rsid w:val="00C01E36"/>
    <w:rsid w:val="00C024CB"/>
    <w:rsid w:val="00C0286C"/>
    <w:rsid w:val="00C02DFE"/>
    <w:rsid w:val="00C02E04"/>
    <w:rsid w:val="00C03CFF"/>
    <w:rsid w:val="00C0478D"/>
    <w:rsid w:val="00C049F6"/>
    <w:rsid w:val="00C053BC"/>
    <w:rsid w:val="00C05697"/>
    <w:rsid w:val="00C05C45"/>
    <w:rsid w:val="00C05DDD"/>
    <w:rsid w:val="00C0610C"/>
    <w:rsid w:val="00C0631A"/>
    <w:rsid w:val="00C064C8"/>
    <w:rsid w:val="00C0680E"/>
    <w:rsid w:val="00C06D4E"/>
    <w:rsid w:val="00C07273"/>
    <w:rsid w:val="00C072B1"/>
    <w:rsid w:val="00C076D9"/>
    <w:rsid w:val="00C10051"/>
    <w:rsid w:val="00C11AC1"/>
    <w:rsid w:val="00C11EB7"/>
    <w:rsid w:val="00C1263D"/>
    <w:rsid w:val="00C13B80"/>
    <w:rsid w:val="00C14159"/>
    <w:rsid w:val="00C14687"/>
    <w:rsid w:val="00C147F6"/>
    <w:rsid w:val="00C14A4C"/>
    <w:rsid w:val="00C14A8C"/>
    <w:rsid w:val="00C15622"/>
    <w:rsid w:val="00C16B32"/>
    <w:rsid w:val="00C177AF"/>
    <w:rsid w:val="00C201DE"/>
    <w:rsid w:val="00C20613"/>
    <w:rsid w:val="00C20694"/>
    <w:rsid w:val="00C208A2"/>
    <w:rsid w:val="00C20BD5"/>
    <w:rsid w:val="00C2194B"/>
    <w:rsid w:val="00C21AB7"/>
    <w:rsid w:val="00C21E79"/>
    <w:rsid w:val="00C21F40"/>
    <w:rsid w:val="00C22213"/>
    <w:rsid w:val="00C2223D"/>
    <w:rsid w:val="00C24592"/>
    <w:rsid w:val="00C26A2B"/>
    <w:rsid w:val="00C26E78"/>
    <w:rsid w:val="00C274AA"/>
    <w:rsid w:val="00C27711"/>
    <w:rsid w:val="00C27782"/>
    <w:rsid w:val="00C30D23"/>
    <w:rsid w:val="00C310B2"/>
    <w:rsid w:val="00C31763"/>
    <w:rsid w:val="00C318E5"/>
    <w:rsid w:val="00C31A8A"/>
    <w:rsid w:val="00C31B33"/>
    <w:rsid w:val="00C320C6"/>
    <w:rsid w:val="00C32C65"/>
    <w:rsid w:val="00C3337C"/>
    <w:rsid w:val="00C33408"/>
    <w:rsid w:val="00C34042"/>
    <w:rsid w:val="00C342C8"/>
    <w:rsid w:val="00C35598"/>
    <w:rsid w:val="00C35663"/>
    <w:rsid w:val="00C358DA"/>
    <w:rsid w:val="00C3634B"/>
    <w:rsid w:val="00C36AD1"/>
    <w:rsid w:val="00C36E72"/>
    <w:rsid w:val="00C37644"/>
    <w:rsid w:val="00C40052"/>
    <w:rsid w:val="00C401B9"/>
    <w:rsid w:val="00C40970"/>
    <w:rsid w:val="00C4139C"/>
    <w:rsid w:val="00C41D40"/>
    <w:rsid w:val="00C4218C"/>
    <w:rsid w:val="00C422B4"/>
    <w:rsid w:val="00C42437"/>
    <w:rsid w:val="00C429FE"/>
    <w:rsid w:val="00C42A95"/>
    <w:rsid w:val="00C42C97"/>
    <w:rsid w:val="00C434C2"/>
    <w:rsid w:val="00C4368B"/>
    <w:rsid w:val="00C4564F"/>
    <w:rsid w:val="00C456D2"/>
    <w:rsid w:val="00C457F0"/>
    <w:rsid w:val="00C4593F"/>
    <w:rsid w:val="00C45A29"/>
    <w:rsid w:val="00C45A61"/>
    <w:rsid w:val="00C4634C"/>
    <w:rsid w:val="00C466DD"/>
    <w:rsid w:val="00C46E34"/>
    <w:rsid w:val="00C4748C"/>
    <w:rsid w:val="00C50263"/>
    <w:rsid w:val="00C50E69"/>
    <w:rsid w:val="00C512DF"/>
    <w:rsid w:val="00C5160D"/>
    <w:rsid w:val="00C51628"/>
    <w:rsid w:val="00C5266C"/>
    <w:rsid w:val="00C53095"/>
    <w:rsid w:val="00C53D1A"/>
    <w:rsid w:val="00C53EE4"/>
    <w:rsid w:val="00C54124"/>
    <w:rsid w:val="00C54944"/>
    <w:rsid w:val="00C54957"/>
    <w:rsid w:val="00C551EB"/>
    <w:rsid w:val="00C5536F"/>
    <w:rsid w:val="00C55BCF"/>
    <w:rsid w:val="00C56226"/>
    <w:rsid w:val="00C56277"/>
    <w:rsid w:val="00C56E43"/>
    <w:rsid w:val="00C56F84"/>
    <w:rsid w:val="00C5723F"/>
    <w:rsid w:val="00C57A77"/>
    <w:rsid w:val="00C57FB3"/>
    <w:rsid w:val="00C60379"/>
    <w:rsid w:val="00C60794"/>
    <w:rsid w:val="00C60DF9"/>
    <w:rsid w:val="00C614C5"/>
    <w:rsid w:val="00C614CE"/>
    <w:rsid w:val="00C61810"/>
    <w:rsid w:val="00C631AB"/>
    <w:rsid w:val="00C63523"/>
    <w:rsid w:val="00C64E03"/>
    <w:rsid w:val="00C656CA"/>
    <w:rsid w:val="00C66C40"/>
    <w:rsid w:val="00C675F3"/>
    <w:rsid w:val="00C679E7"/>
    <w:rsid w:val="00C67DAE"/>
    <w:rsid w:val="00C7114B"/>
    <w:rsid w:val="00C7119A"/>
    <w:rsid w:val="00C711E4"/>
    <w:rsid w:val="00C71508"/>
    <w:rsid w:val="00C7158E"/>
    <w:rsid w:val="00C7179B"/>
    <w:rsid w:val="00C71EC2"/>
    <w:rsid w:val="00C72664"/>
    <w:rsid w:val="00C72DB6"/>
    <w:rsid w:val="00C73B87"/>
    <w:rsid w:val="00C73D14"/>
    <w:rsid w:val="00C74244"/>
    <w:rsid w:val="00C74D92"/>
    <w:rsid w:val="00C74DEB"/>
    <w:rsid w:val="00C75871"/>
    <w:rsid w:val="00C75AFA"/>
    <w:rsid w:val="00C765D4"/>
    <w:rsid w:val="00C770BC"/>
    <w:rsid w:val="00C775A0"/>
    <w:rsid w:val="00C8035F"/>
    <w:rsid w:val="00C809E4"/>
    <w:rsid w:val="00C822DD"/>
    <w:rsid w:val="00C82C06"/>
    <w:rsid w:val="00C8346C"/>
    <w:rsid w:val="00C835F1"/>
    <w:rsid w:val="00C83FCD"/>
    <w:rsid w:val="00C84172"/>
    <w:rsid w:val="00C84B64"/>
    <w:rsid w:val="00C84D53"/>
    <w:rsid w:val="00C851A3"/>
    <w:rsid w:val="00C856BD"/>
    <w:rsid w:val="00C8619C"/>
    <w:rsid w:val="00C8635E"/>
    <w:rsid w:val="00C864CB"/>
    <w:rsid w:val="00C869B9"/>
    <w:rsid w:val="00C8773B"/>
    <w:rsid w:val="00C87B7B"/>
    <w:rsid w:val="00C87BC4"/>
    <w:rsid w:val="00C87CDB"/>
    <w:rsid w:val="00C87F6D"/>
    <w:rsid w:val="00C90209"/>
    <w:rsid w:val="00C90290"/>
    <w:rsid w:val="00C90679"/>
    <w:rsid w:val="00C907AF"/>
    <w:rsid w:val="00C912E0"/>
    <w:rsid w:val="00C916EB"/>
    <w:rsid w:val="00C91A22"/>
    <w:rsid w:val="00C91E12"/>
    <w:rsid w:val="00C91F5C"/>
    <w:rsid w:val="00C925C9"/>
    <w:rsid w:val="00C92B9E"/>
    <w:rsid w:val="00C92EDD"/>
    <w:rsid w:val="00C9301B"/>
    <w:rsid w:val="00C938B5"/>
    <w:rsid w:val="00C93DE4"/>
    <w:rsid w:val="00CA0409"/>
    <w:rsid w:val="00CA0876"/>
    <w:rsid w:val="00CA18A0"/>
    <w:rsid w:val="00CA1E40"/>
    <w:rsid w:val="00CA2C4B"/>
    <w:rsid w:val="00CA2CAC"/>
    <w:rsid w:val="00CA41DB"/>
    <w:rsid w:val="00CA4F51"/>
    <w:rsid w:val="00CA526A"/>
    <w:rsid w:val="00CA56EF"/>
    <w:rsid w:val="00CA572D"/>
    <w:rsid w:val="00CA6002"/>
    <w:rsid w:val="00CA6B9D"/>
    <w:rsid w:val="00CA70BA"/>
    <w:rsid w:val="00CA7181"/>
    <w:rsid w:val="00CA7E40"/>
    <w:rsid w:val="00CA7F24"/>
    <w:rsid w:val="00CB0023"/>
    <w:rsid w:val="00CB0062"/>
    <w:rsid w:val="00CB2843"/>
    <w:rsid w:val="00CB296C"/>
    <w:rsid w:val="00CB3070"/>
    <w:rsid w:val="00CB391C"/>
    <w:rsid w:val="00CB3A5F"/>
    <w:rsid w:val="00CB3C7A"/>
    <w:rsid w:val="00CB3D98"/>
    <w:rsid w:val="00CB4C4D"/>
    <w:rsid w:val="00CB56FC"/>
    <w:rsid w:val="00CB5D35"/>
    <w:rsid w:val="00CB655D"/>
    <w:rsid w:val="00CB6C83"/>
    <w:rsid w:val="00CB6D7E"/>
    <w:rsid w:val="00CB6E06"/>
    <w:rsid w:val="00CB6F85"/>
    <w:rsid w:val="00CB705E"/>
    <w:rsid w:val="00CB72BB"/>
    <w:rsid w:val="00CB7D83"/>
    <w:rsid w:val="00CC07A1"/>
    <w:rsid w:val="00CC0B66"/>
    <w:rsid w:val="00CC15FC"/>
    <w:rsid w:val="00CC17D3"/>
    <w:rsid w:val="00CC1AD3"/>
    <w:rsid w:val="00CC1F18"/>
    <w:rsid w:val="00CC236E"/>
    <w:rsid w:val="00CC293D"/>
    <w:rsid w:val="00CC3461"/>
    <w:rsid w:val="00CC3633"/>
    <w:rsid w:val="00CC3D17"/>
    <w:rsid w:val="00CC44CB"/>
    <w:rsid w:val="00CC4854"/>
    <w:rsid w:val="00CC4C9A"/>
    <w:rsid w:val="00CC5118"/>
    <w:rsid w:val="00CC5963"/>
    <w:rsid w:val="00CC659C"/>
    <w:rsid w:val="00CC6AF0"/>
    <w:rsid w:val="00CC6B8C"/>
    <w:rsid w:val="00CC6E5B"/>
    <w:rsid w:val="00CC745A"/>
    <w:rsid w:val="00CC7A6C"/>
    <w:rsid w:val="00CD00DC"/>
    <w:rsid w:val="00CD07AE"/>
    <w:rsid w:val="00CD0E60"/>
    <w:rsid w:val="00CD0FC7"/>
    <w:rsid w:val="00CD1972"/>
    <w:rsid w:val="00CD1999"/>
    <w:rsid w:val="00CD22A0"/>
    <w:rsid w:val="00CD2B22"/>
    <w:rsid w:val="00CD3584"/>
    <w:rsid w:val="00CD3B14"/>
    <w:rsid w:val="00CD4081"/>
    <w:rsid w:val="00CD4262"/>
    <w:rsid w:val="00CD49E9"/>
    <w:rsid w:val="00CD4BE8"/>
    <w:rsid w:val="00CD4CD7"/>
    <w:rsid w:val="00CD55B3"/>
    <w:rsid w:val="00CD5846"/>
    <w:rsid w:val="00CD667A"/>
    <w:rsid w:val="00CD6EC9"/>
    <w:rsid w:val="00CD78B3"/>
    <w:rsid w:val="00CD7B66"/>
    <w:rsid w:val="00CD7CB4"/>
    <w:rsid w:val="00CE000A"/>
    <w:rsid w:val="00CE06EF"/>
    <w:rsid w:val="00CE085D"/>
    <w:rsid w:val="00CE090A"/>
    <w:rsid w:val="00CE1222"/>
    <w:rsid w:val="00CE181F"/>
    <w:rsid w:val="00CE1CC3"/>
    <w:rsid w:val="00CE1DF3"/>
    <w:rsid w:val="00CE25C6"/>
    <w:rsid w:val="00CE4A4E"/>
    <w:rsid w:val="00CE502E"/>
    <w:rsid w:val="00CE57C0"/>
    <w:rsid w:val="00CE5AB2"/>
    <w:rsid w:val="00CE617C"/>
    <w:rsid w:val="00CE61E7"/>
    <w:rsid w:val="00CE6A59"/>
    <w:rsid w:val="00CE72E4"/>
    <w:rsid w:val="00CE74DA"/>
    <w:rsid w:val="00CE7B9D"/>
    <w:rsid w:val="00CE7C99"/>
    <w:rsid w:val="00CE7D9F"/>
    <w:rsid w:val="00CF0CFA"/>
    <w:rsid w:val="00CF0F38"/>
    <w:rsid w:val="00CF0F5F"/>
    <w:rsid w:val="00CF1622"/>
    <w:rsid w:val="00CF2716"/>
    <w:rsid w:val="00CF2D60"/>
    <w:rsid w:val="00CF2E62"/>
    <w:rsid w:val="00CF32FA"/>
    <w:rsid w:val="00CF3C38"/>
    <w:rsid w:val="00CF3CDD"/>
    <w:rsid w:val="00CF41DF"/>
    <w:rsid w:val="00CF4396"/>
    <w:rsid w:val="00CF4731"/>
    <w:rsid w:val="00CF4B82"/>
    <w:rsid w:val="00CF4F52"/>
    <w:rsid w:val="00CF5A68"/>
    <w:rsid w:val="00CF5A8B"/>
    <w:rsid w:val="00CF5BA0"/>
    <w:rsid w:val="00CF6235"/>
    <w:rsid w:val="00CF6645"/>
    <w:rsid w:val="00D00F0A"/>
    <w:rsid w:val="00D01280"/>
    <w:rsid w:val="00D012F9"/>
    <w:rsid w:val="00D01DFA"/>
    <w:rsid w:val="00D02272"/>
    <w:rsid w:val="00D02635"/>
    <w:rsid w:val="00D03BCB"/>
    <w:rsid w:val="00D04A53"/>
    <w:rsid w:val="00D04E25"/>
    <w:rsid w:val="00D05621"/>
    <w:rsid w:val="00D06102"/>
    <w:rsid w:val="00D06E74"/>
    <w:rsid w:val="00D0762C"/>
    <w:rsid w:val="00D07B57"/>
    <w:rsid w:val="00D107EC"/>
    <w:rsid w:val="00D11652"/>
    <w:rsid w:val="00D11CEB"/>
    <w:rsid w:val="00D11E74"/>
    <w:rsid w:val="00D121BF"/>
    <w:rsid w:val="00D1382F"/>
    <w:rsid w:val="00D13BD4"/>
    <w:rsid w:val="00D156B9"/>
    <w:rsid w:val="00D15DDA"/>
    <w:rsid w:val="00D15E98"/>
    <w:rsid w:val="00D15EF4"/>
    <w:rsid w:val="00D166BD"/>
    <w:rsid w:val="00D166F8"/>
    <w:rsid w:val="00D1762A"/>
    <w:rsid w:val="00D17BEC"/>
    <w:rsid w:val="00D17F76"/>
    <w:rsid w:val="00D20A68"/>
    <w:rsid w:val="00D20E5B"/>
    <w:rsid w:val="00D21558"/>
    <w:rsid w:val="00D21EEF"/>
    <w:rsid w:val="00D221FC"/>
    <w:rsid w:val="00D22351"/>
    <w:rsid w:val="00D231FF"/>
    <w:rsid w:val="00D23EAC"/>
    <w:rsid w:val="00D24041"/>
    <w:rsid w:val="00D25860"/>
    <w:rsid w:val="00D26094"/>
    <w:rsid w:val="00D2646C"/>
    <w:rsid w:val="00D26BE5"/>
    <w:rsid w:val="00D277A3"/>
    <w:rsid w:val="00D27CD4"/>
    <w:rsid w:val="00D30856"/>
    <w:rsid w:val="00D30B82"/>
    <w:rsid w:val="00D30BAC"/>
    <w:rsid w:val="00D313BD"/>
    <w:rsid w:val="00D3179F"/>
    <w:rsid w:val="00D318A2"/>
    <w:rsid w:val="00D31A78"/>
    <w:rsid w:val="00D31AF7"/>
    <w:rsid w:val="00D3346B"/>
    <w:rsid w:val="00D343B5"/>
    <w:rsid w:val="00D34EB1"/>
    <w:rsid w:val="00D35EF8"/>
    <w:rsid w:val="00D3686B"/>
    <w:rsid w:val="00D4119C"/>
    <w:rsid w:val="00D41BE8"/>
    <w:rsid w:val="00D42F23"/>
    <w:rsid w:val="00D4347E"/>
    <w:rsid w:val="00D4515D"/>
    <w:rsid w:val="00D45542"/>
    <w:rsid w:val="00D458C0"/>
    <w:rsid w:val="00D45A74"/>
    <w:rsid w:val="00D45A9A"/>
    <w:rsid w:val="00D46A33"/>
    <w:rsid w:val="00D47001"/>
    <w:rsid w:val="00D50D88"/>
    <w:rsid w:val="00D510ED"/>
    <w:rsid w:val="00D51280"/>
    <w:rsid w:val="00D51BA0"/>
    <w:rsid w:val="00D51E1B"/>
    <w:rsid w:val="00D51E4C"/>
    <w:rsid w:val="00D52543"/>
    <w:rsid w:val="00D52CD8"/>
    <w:rsid w:val="00D54239"/>
    <w:rsid w:val="00D546E9"/>
    <w:rsid w:val="00D5530B"/>
    <w:rsid w:val="00D553AE"/>
    <w:rsid w:val="00D553DD"/>
    <w:rsid w:val="00D5665F"/>
    <w:rsid w:val="00D56EF3"/>
    <w:rsid w:val="00D572DC"/>
    <w:rsid w:val="00D57499"/>
    <w:rsid w:val="00D5753E"/>
    <w:rsid w:val="00D57CDE"/>
    <w:rsid w:val="00D57D1F"/>
    <w:rsid w:val="00D6022F"/>
    <w:rsid w:val="00D602BE"/>
    <w:rsid w:val="00D6037F"/>
    <w:rsid w:val="00D6054A"/>
    <w:rsid w:val="00D61064"/>
    <w:rsid w:val="00D612D3"/>
    <w:rsid w:val="00D61312"/>
    <w:rsid w:val="00D618AC"/>
    <w:rsid w:val="00D62EAE"/>
    <w:rsid w:val="00D63D92"/>
    <w:rsid w:val="00D648D7"/>
    <w:rsid w:val="00D66952"/>
    <w:rsid w:val="00D70F5A"/>
    <w:rsid w:val="00D713AA"/>
    <w:rsid w:val="00D71A10"/>
    <w:rsid w:val="00D71C1F"/>
    <w:rsid w:val="00D71D09"/>
    <w:rsid w:val="00D722DF"/>
    <w:rsid w:val="00D741D5"/>
    <w:rsid w:val="00D744DE"/>
    <w:rsid w:val="00D74B1F"/>
    <w:rsid w:val="00D74C61"/>
    <w:rsid w:val="00D74F48"/>
    <w:rsid w:val="00D75725"/>
    <w:rsid w:val="00D759C1"/>
    <w:rsid w:val="00D75DC2"/>
    <w:rsid w:val="00D764AE"/>
    <w:rsid w:val="00D766FD"/>
    <w:rsid w:val="00D76ED4"/>
    <w:rsid w:val="00D770CE"/>
    <w:rsid w:val="00D77892"/>
    <w:rsid w:val="00D801B7"/>
    <w:rsid w:val="00D8042A"/>
    <w:rsid w:val="00D807DD"/>
    <w:rsid w:val="00D81276"/>
    <w:rsid w:val="00D81C38"/>
    <w:rsid w:val="00D81E77"/>
    <w:rsid w:val="00D82B1B"/>
    <w:rsid w:val="00D82D6E"/>
    <w:rsid w:val="00D8346F"/>
    <w:rsid w:val="00D839FD"/>
    <w:rsid w:val="00D8462F"/>
    <w:rsid w:val="00D84B86"/>
    <w:rsid w:val="00D84F82"/>
    <w:rsid w:val="00D85AE3"/>
    <w:rsid w:val="00D85D2B"/>
    <w:rsid w:val="00D8632C"/>
    <w:rsid w:val="00D865D8"/>
    <w:rsid w:val="00D86A5C"/>
    <w:rsid w:val="00D86B09"/>
    <w:rsid w:val="00D8718E"/>
    <w:rsid w:val="00D87879"/>
    <w:rsid w:val="00D87D71"/>
    <w:rsid w:val="00D908EA"/>
    <w:rsid w:val="00D90DF3"/>
    <w:rsid w:val="00D90E13"/>
    <w:rsid w:val="00D91A66"/>
    <w:rsid w:val="00D92A83"/>
    <w:rsid w:val="00D93978"/>
    <w:rsid w:val="00D939CD"/>
    <w:rsid w:val="00D93BB6"/>
    <w:rsid w:val="00D93F44"/>
    <w:rsid w:val="00D9432B"/>
    <w:rsid w:val="00D94E18"/>
    <w:rsid w:val="00D94FFF"/>
    <w:rsid w:val="00D959D2"/>
    <w:rsid w:val="00D95BAC"/>
    <w:rsid w:val="00D961B0"/>
    <w:rsid w:val="00D962C1"/>
    <w:rsid w:val="00D96C03"/>
    <w:rsid w:val="00D96CB2"/>
    <w:rsid w:val="00D977B4"/>
    <w:rsid w:val="00D97BC0"/>
    <w:rsid w:val="00D97D0C"/>
    <w:rsid w:val="00DA00D0"/>
    <w:rsid w:val="00DA08A4"/>
    <w:rsid w:val="00DA0CED"/>
    <w:rsid w:val="00DA10F5"/>
    <w:rsid w:val="00DA122A"/>
    <w:rsid w:val="00DA164F"/>
    <w:rsid w:val="00DA1870"/>
    <w:rsid w:val="00DA1967"/>
    <w:rsid w:val="00DA253B"/>
    <w:rsid w:val="00DA38E3"/>
    <w:rsid w:val="00DA4847"/>
    <w:rsid w:val="00DA4B11"/>
    <w:rsid w:val="00DA4F01"/>
    <w:rsid w:val="00DA51C9"/>
    <w:rsid w:val="00DA528A"/>
    <w:rsid w:val="00DA55DB"/>
    <w:rsid w:val="00DA5671"/>
    <w:rsid w:val="00DA5C27"/>
    <w:rsid w:val="00DA68F3"/>
    <w:rsid w:val="00DA6A95"/>
    <w:rsid w:val="00DA6B52"/>
    <w:rsid w:val="00DA6D22"/>
    <w:rsid w:val="00DA7757"/>
    <w:rsid w:val="00DB040C"/>
    <w:rsid w:val="00DB053A"/>
    <w:rsid w:val="00DB0926"/>
    <w:rsid w:val="00DB0FF9"/>
    <w:rsid w:val="00DB16D0"/>
    <w:rsid w:val="00DB2269"/>
    <w:rsid w:val="00DB2308"/>
    <w:rsid w:val="00DB3ED8"/>
    <w:rsid w:val="00DB4773"/>
    <w:rsid w:val="00DB52A8"/>
    <w:rsid w:val="00DB5B9F"/>
    <w:rsid w:val="00DB5F6B"/>
    <w:rsid w:val="00DB6C93"/>
    <w:rsid w:val="00DB6ECB"/>
    <w:rsid w:val="00DB7B08"/>
    <w:rsid w:val="00DC0BA5"/>
    <w:rsid w:val="00DC1D9A"/>
    <w:rsid w:val="00DC2F60"/>
    <w:rsid w:val="00DC337E"/>
    <w:rsid w:val="00DC513C"/>
    <w:rsid w:val="00DC5455"/>
    <w:rsid w:val="00DC6A9A"/>
    <w:rsid w:val="00DC7EB0"/>
    <w:rsid w:val="00DD0C5B"/>
    <w:rsid w:val="00DD1C06"/>
    <w:rsid w:val="00DD1C3E"/>
    <w:rsid w:val="00DD1EC4"/>
    <w:rsid w:val="00DD2944"/>
    <w:rsid w:val="00DD2A76"/>
    <w:rsid w:val="00DD2AEF"/>
    <w:rsid w:val="00DD3491"/>
    <w:rsid w:val="00DD35C8"/>
    <w:rsid w:val="00DD366C"/>
    <w:rsid w:val="00DD377F"/>
    <w:rsid w:val="00DD3C2D"/>
    <w:rsid w:val="00DD5364"/>
    <w:rsid w:val="00DD5383"/>
    <w:rsid w:val="00DD5F5C"/>
    <w:rsid w:val="00DD6083"/>
    <w:rsid w:val="00DD61CD"/>
    <w:rsid w:val="00DD61EC"/>
    <w:rsid w:val="00DD758A"/>
    <w:rsid w:val="00DD774B"/>
    <w:rsid w:val="00DD7E52"/>
    <w:rsid w:val="00DD7F38"/>
    <w:rsid w:val="00DE0C4B"/>
    <w:rsid w:val="00DE121E"/>
    <w:rsid w:val="00DE1414"/>
    <w:rsid w:val="00DE17C0"/>
    <w:rsid w:val="00DE2490"/>
    <w:rsid w:val="00DE25BA"/>
    <w:rsid w:val="00DE28CB"/>
    <w:rsid w:val="00DE3512"/>
    <w:rsid w:val="00DE35EA"/>
    <w:rsid w:val="00DE418C"/>
    <w:rsid w:val="00DE41AD"/>
    <w:rsid w:val="00DE4611"/>
    <w:rsid w:val="00DE54A7"/>
    <w:rsid w:val="00DE555E"/>
    <w:rsid w:val="00DE57DA"/>
    <w:rsid w:val="00DE62A6"/>
    <w:rsid w:val="00DE6411"/>
    <w:rsid w:val="00DE668C"/>
    <w:rsid w:val="00DE6B47"/>
    <w:rsid w:val="00DF0139"/>
    <w:rsid w:val="00DF0CAD"/>
    <w:rsid w:val="00DF0EBD"/>
    <w:rsid w:val="00DF10D8"/>
    <w:rsid w:val="00DF13AE"/>
    <w:rsid w:val="00DF1499"/>
    <w:rsid w:val="00DF1C55"/>
    <w:rsid w:val="00DF2F7F"/>
    <w:rsid w:val="00DF3A00"/>
    <w:rsid w:val="00DF464B"/>
    <w:rsid w:val="00DF5136"/>
    <w:rsid w:val="00DF52FE"/>
    <w:rsid w:val="00DF5563"/>
    <w:rsid w:val="00DF56BE"/>
    <w:rsid w:val="00DF5FDB"/>
    <w:rsid w:val="00DF6BA3"/>
    <w:rsid w:val="00DF6F77"/>
    <w:rsid w:val="00DF767D"/>
    <w:rsid w:val="00DF76D9"/>
    <w:rsid w:val="00E00232"/>
    <w:rsid w:val="00E006EE"/>
    <w:rsid w:val="00E00C51"/>
    <w:rsid w:val="00E013BC"/>
    <w:rsid w:val="00E01808"/>
    <w:rsid w:val="00E01B55"/>
    <w:rsid w:val="00E02006"/>
    <w:rsid w:val="00E026CD"/>
    <w:rsid w:val="00E026D8"/>
    <w:rsid w:val="00E02E6B"/>
    <w:rsid w:val="00E0319A"/>
    <w:rsid w:val="00E03388"/>
    <w:rsid w:val="00E03F9F"/>
    <w:rsid w:val="00E045FF"/>
    <w:rsid w:val="00E0471B"/>
    <w:rsid w:val="00E04D4D"/>
    <w:rsid w:val="00E04FD3"/>
    <w:rsid w:val="00E051CD"/>
    <w:rsid w:val="00E052D8"/>
    <w:rsid w:val="00E058E1"/>
    <w:rsid w:val="00E05A22"/>
    <w:rsid w:val="00E068A0"/>
    <w:rsid w:val="00E07049"/>
    <w:rsid w:val="00E073E6"/>
    <w:rsid w:val="00E1046B"/>
    <w:rsid w:val="00E106EF"/>
    <w:rsid w:val="00E1103F"/>
    <w:rsid w:val="00E1131E"/>
    <w:rsid w:val="00E11908"/>
    <w:rsid w:val="00E11986"/>
    <w:rsid w:val="00E11C27"/>
    <w:rsid w:val="00E11EA5"/>
    <w:rsid w:val="00E121FF"/>
    <w:rsid w:val="00E12636"/>
    <w:rsid w:val="00E12D0F"/>
    <w:rsid w:val="00E12EF6"/>
    <w:rsid w:val="00E132DC"/>
    <w:rsid w:val="00E13766"/>
    <w:rsid w:val="00E1409A"/>
    <w:rsid w:val="00E147C6"/>
    <w:rsid w:val="00E14824"/>
    <w:rsid w:val="00E14CA9"/>
    <w:rsid w:val="00E14CEA"/>
    <w:rsid w:val="00E14D77"/>
    <w:rsid w:val="00E15057"/>
    <w:rsid w:val="00E15B12"/>
    <w:rsid w:val="00E15CB0"/>
    <w:rsid w:val="00E15FC5"/>
    <w:rsid w:val="00E16CB7"/>
    <w:rsid w:val="00E201A5"/>
    <w:rsid w:val="00E201E1"/>
    <w:rsid w:val="00E203E8"/>
    <w:rsid w:val="00E209F0"/>
    <w:rsid w:val="00E21145"/>
    <w:rsid w:val="00E215BC"/>
    <w:rsid w:val="00E21EE7"/>
    <w:rsid w:val="00E23157"/>
    <w:rsid w:val="00E23615"/>
    <w:rsid w:val="00E23965"/>
    <w:rsid w:val="00E23A7E"/>
    <w:rsid w:val="00E23D25"/>
    <w:rsid w:val="00E254D1"/>
    <w:rsid w:val="00E25DA9"/>
    <w:rsid w:val="00E269E4"/>
    <w:rsid w:val="00E27EDD"/>
    <w:rsid w:val="00E30D13"/>
    <w:rsid w:val="00E30FB6"/>
    <w:rsid w:val="00E31234"/>
    <w:rsid w:val="00E312A8"/>
    <w:rsid w:val="00E319E8"/>
    <w:rsid w:val="00E31E14"/>
    <w:rsid w:val="00E330D6"/>
    <w:rsid w:val="00E33160"/>
    <w:rsid w:val="00E33194"/>
    <w:rsid w:val="00E336F5"/>
    <w:rsid w:val="00E33793"/>
    <w:rsid w:val="00E33953"/>
    <w:rsid w:val="00E34796"/>
    <w:rsid w:val="00E34BCF"/>
    <w:rsid w:val="00E350F1"/>
    <w:rsid w:val="00E35D53"/>
    <w:rsid w:val="00E3609E"/>
    <w:rsid w:val="00E360B8"/>
    <w:rsid w:val="00E36C0D"/>
    <w:rsid w:val="00E373C5"/>
    <w:rsid w:val="00E37E19"/>
    <w:rsid w:val="00E4026A"/>
    <w:rsid w:val="00E4043F"/>
    <w:rsid w:val="00E40717"/>
    <w:rsid w:val="00E40FF9"/>
    <w:rsid w:val="00E42D62"/>
    <w:rsid w:val="00E4400D"/>
    <w:rsid w:val="00E44218"/>
    <w:rsid w:val="00E46482"/>
    <w:rsid w:val="00E476C0"/>
    <w:rsid w:val="00E501A4"/>
    <w:rsid w:val="00E502B4"/>
    <w:rsid w:val="00E51841"/>
    <w:rsid w:val="00E525F1"/>
    <w:rsid w:val="00E52C53"/>
    <w:rsid w:val="00E5320F"/>
    <w:rsid w:val="00E53310"/>
    <w:rsid w:val="00E53934"/>
    <w:rsid w:val="00E53CD6"/>
    <w:rsid w:val="00E54FA2"/>
    <w:rsid w:val="00E56396"/>
    <w:rsid w:val="00E56EC2"/>
    <w:rsid w:val="00E5729B"/>
    <w:rsid w:val="00E57345"/>
    <w:rsid w:val="00E607C5"/>
    <w:rsid w:val="00E609EF"/>
    <w:rsid w:val="00E60C99"/>
    <w:rsid w:val="00E614FF"/>
    <w:rsid w:val="00E61BD3"/>
    <w:rsid w:val="00E65A57"/>
    <w:rsid w:val="00E660DF"/>
    <w:rsid w:val="00E665CB"/>
    <w:rsid w:val="00E66E52"/>
    <w:rsid w:val="00E6742D"/>
    <w:rsid w:val="00E67759"/>
    <w:rsid w:val="00E708A1"/>
    <w:rsid w:val="00E70AEC"/>
    <w:rsid w:val="00E71055"/>
    <w:rsid w:val="00E719BC"/>
    <w:rsid w:val="00E71F3A"/>
    <w:rsid w:val="00E7216A"/>
    <w:rsid w:val="00E726BB"/>
    <w:rsid w:val="00E72826"/>
    <w:rsid w:val="00E72AC0"/>
    <w:rsid w:val="00E72B77"/>
    <w:rsid w:val="00E72CB3"/>
    <w:rsid w:val="00E72F87"/>
    <w:rsid w:val="00E73546"/>
    <w:rsid w:val="00E737C8"/>
    <w:rsid w:val="00E747C2"/>
    <w:rsid w:val="00E74AB0"/>
    <w:rsid w:val="00E7552F"/>
    <w:rsid w:val="00E755C9"/>
    <w:rsid w:val="00E757B1"/>
    <w:rsid w:val="00E75E37"/>
    <w:rsid w:val="00E75FF4"/>
    <w:rsid w:val="00E7600B"/>
    <w:rsid w:val="00E762DA"/>
    <w:rsid w:val="00E76BFC"/>
    <w:rsid w:val="00E777C6"/>
    <w:rsid w:val="00E7790E"/>
    <w:rsid w:val="00E77A2E"/>
    <w:rsid w:val="00E77DD0"/>
    <w:rsid w:val="00E80011"/>
    <w:rsid w:val="00E803E1"/>
    <w:rsid w:val="00E80472"/>
    <w:rsid w:val="00E81232"/>
    <w:rsid w:val="00E81EC8"/>
    <w:rsid w:val="00E81FFB"/>
    <w:rsid w:val="00E8271E"/>
    <w:rsid w:val="00E82B62"/>
    <w:rsid w:val="00E8405D"/>
    <w:rsid w:val="00E84230"/>
    <w:rsid w:val="00E856C0"/>
    <w:rsid w:val="00E858FF"/>
    <w:rsid w:val="00E86329"/>
    <w:rsid w:val="00E86405"/>
    <w:rsid w:val="00E86620"/>
    <w:rsid w:val="00E86D18"/>
    <w:rsid w:val="00E870B3"/>
    <w:rsid w:val="00E87C58"/>
    <w:rsid w:val="00E87F3C"/>
    <w:rsid w:val="00E90532"/>
    <w:rsid w:val="00E90750"/>
    <w:rsid w:val="00E90FA7"/>
    <w:rsid w:val="00E91993"/>
    <w:rsid w:val="00E91E3B"/>
    <w:rsid w:val="00E92498"/>
    <w:rsid w:val="00E9272E"/>
    <w:rsid w:val="00E92816"/>
    <w:rsid w:val="00E92EA8"/>
    <w:rsid w:val="00E9351F"/>
    <w:rsid w:val="00E939E1"/>
    <w:rsid w:val="00E94032"/>
    <w:rsid w:val="00E94303"/>
    <w:rsid w:val="00E948C6"/>
    <w:rsid w:val="00E9733C"/>
    <w:rsid w:val="00E9744D"/>
    <w:rsid w:val="00E9771C"/>
    <w:rsid w:val="00E97828"/>
    <w:rsid w:val="00E97E26"/>
    <w:rsid w:val="00EA0B46"/>
    <w:rsid w:val="00EA0F80"/>
    <w:rsid w:val="00EA0FCE"/>
    <w:rsid w:val="00EA1842"/>
    <w:rsid w:val="00EA1C66"/>
    <w:rsid w:val="00EA21DB"/>
    <w:rsid w:val="00EA2893"/>
    <w:rsid w:val="00EA2AAA"/>
    <w:rsid w:val="00EA2F26"/>
    <w:rsid w:val="00EA3813"/>
    <w:rsid w:val="00EA3A45"/>
    <w:rsid w:val="00EA3DF2"/>
    <w:rsid w:val="00EA46D7"/>
    <w:rsid w:val="00EA4764"/>
    <w:rsid w:val="00EA4E3D"/>
    <w:rsid w:val="00EA4F2A"/>
    <w:rsid w:val="00EA50B6"/>
    <w:rsid w:val="00EA52E3"/>
    <w:rsid w:val="00EA54E6"/>
    <w:rsid w:val="00EA572F"/>
    <w:rsid w:val="00EA5931"/>
    <w:rsid w:val="00EA6573"/>
    <w:rsid w:val="00EA6D10"/>
    <w:rsid w:val="00EA71AA"/>
    <w:rsid w:val="00EA74BF"/>
    <w:rsid w:val="00EA7F20"/>
    <w:rsid w:val="00EB0204"/>
    <w:rsid w:val="00EB0872"/>
    <w:rsid w:val="00EB0EC7"/>
    <w:rsid w:val="00EB10EA"/>
    <w:rsid w:val="00EB21C9"/>
    <w:rsid w:val="00EB2EDC"/>
    <w:rsid w:val="00EB3985"/>
    <w:rsid w:val="00EB3BDF"/>
    <w:rsid w:val="00EB416B"/>
    <w:rsid w:val="00EB4194"/>
    <w:rsid w:val="00EB4797"/>
    <w:rsid w:val="00EB4D50"/>
    <w:rsid w:val="00EB5BF7"/>
    <w:rsid w:val="00EB6C20"/>
    <w:rsid w:val="00EB74D2"/>
    <w:rsid w:val="00EC023E"/>
    <w:rsid w:val="00EC04E5"/>
    <w:rsid w:val="00EC0633"/>
    <w:rsid w:val="00EC06AC"/>
    <w:rsid w:val="00EC101A"/>
    <w:rsid w:val="00EC2530"/>
    <w:rsid w:val="00EC27A6"/>
    <w:rsid w:val="00EC2BA9"/>
    <w:rsid w:val="00EC2F06"/>
    <w:rsid w:val="00EC3EBA"/>
    <w:rsid w:val="00EC4332"/>
    <w:rsid w:val="00EC62B5"/>
    <w:rsid w:val="00EC63C4"/>
    <w:rsid w:val="00EC66FE"/>
    <w:rsid w:val="00EC6EF9"/>
    <w:rsid w:val="00EC6F86"/>
    <w:rsid w:val="00EC70A4"/>
    <w:rsid w:val="00EC78BD"/>
    <w:rsid w:val="00EC7CB5"/>
    <w:rsid w:val="00ED078C"/>
    <w:rsid w:val="00ED0846"/>
    <w:rsid w:val="00ED0EE9"/>
    <w:rsid w:val="00ED1EFF"/>
    <w:rsid w:val="00ED2290"/>
    <w:rsid w:val="00ED2C3E"/>
    <w:rsid w:val="00ED30C4"/>
    <w:rsid w:val="00ED389A"/>
    <w:rsid w:val="00ED3BEA"/>
    <w:rsid w:val="00ED3E76"/>
    <w:rsid w:val="00ED43FA"/>
    <w:rsid w:val="00ED48B0"/>
    <w:rsid w:val="00ED4F04"/>
    <w:rsid w:val="00ED5826"/>
    <w:rsid w:val="00ED585D"/>
    <w:rsid w:val="00ED6517"/>
    <w:rsid w:val="00ED6901"/>
    <w:rsid w:val="00ED6C2F"/>
    <w:rsid w:val="00ED77FE"/>
    <w:rsid w:val="00EE0367"/>
    <w:rsid w:val="00EE0554"/>
    <w:rsid w:val="00EE0C44"/>
    <w:rsid w:val="00EE0C96"/>
    <w:rsid w:val="00EE1512"/>
    <w:rsid w:val="00EE2614"/>
    <w:rsid w:val="00EE26D6"/>
    <w:rsid w:val="00EE2AFE"/>
    <w:rsid w:val="00EE30B0"/>
    <w:rsid w:val="00EE369D"/>
    <w:rsid w:val="00EE3BDF"/>
    <w:rsid w:val="00EE4115"/>
    <w:rsid w:val="00EE4419"/>
    <w:rsid w:val="00EE4596"/>
    <w:rsid w:val="00EE4DBB"/>
    <w:rsid w:val="00EE52D9"/>
    <w:rsid w:val="00EE57DE"/>
    <w:rsid w:val="00EE5BA2"/>
    <w:rsid w:val="00EE5C8B"/>
    <w:rsid w:val="00EE60C3"/>
    <w:rsid w:val="00EE6CE3"/>
    <w:rsid w:val="00EE75B2"/>
    <w:rsid w:val="00EE77ED"/>
    <w:rsid w:val="00EF037C"/>
    <w:rsid w:val="00EF0431"/>
    <w:rsid w:val="00EF0E4C"/>
    <w:rsid w:val="00EF104B"/>
    <w:rsid w:val="00EF159A"/>
    <w:rsid w:val="00EF18CE"/>
    <w:rsid w:val="00EF33C8"/>
    <w:rsid w:val="00EF384C"/>
    <w:rsid w:val="00EF439F"/>
    <w:rsid w:val="00EF441B"/>
    <w:rsid w:val="00EF4432"/>
    <w:rsid w:val="00EF4ABA"/>
    <w:rsid w:val="00EF4C06"/>
    <w:rsid w:val="00EF4EEB"/>
    <w:rsid w:val="00EF54B1"/>
    <w:rsid w:val="00EF58B8"/>
    <w:rsid w:val="00EF5C9C"/>
    <w:rsid w:val="00EF6A28"/>
    <w:rsid w:val="00EF6F2C"/>
    <w:rsid w:val="00EF7550"/>
    <w:rsid w:val="00EF7634"/>
    <w:rsid w:val="00EF7781"/>
    <w:rsid w:val="00EF7786"/>
    <w:rsid w:val="00EF7D05"/>
    <w:rsid w:val="00F0023B"/>
    <w:rsid w:val="00F002C7"/>
    <w:rsid w:val="00F00A9B"/>
    <w:rsid w:val="00F00D69"/>
    <w:rsid w:val="00F01103"/>
    <w:rsid w:val="00F0134D"/>
    <w:rsid w:val="00F02005"/>
    <w:rsid w:val="00F04428"/>
    <w:rsid w:val="00F05916"/>
    <w:rsid w:val="00F05966"/>
    <w:rsid w:val="00F05EC7"/>
    <w:rsid w:val="00F064DD"/>
    <w:rsid w:val="00F069E4"/>
    <w:rsid w:val="00F06DBC"/>
    <w:rsid w:val="00F07A5A"/>
    <w:rsid w:val="00F07C34"/>
    <w:rsid w:val="00F1079F"/>
    <w:rsid w:val="00F10ED9"/>
    <w:rsid w:val="00F11C14"/>
    <w:rsid w:val="00F11EB9"/>
    <w:rsid w:val="00F12027"/>
    <w:rsid w:val="00F12411"/>
    <w:rsid w:val="00F128F0"/>
    <w:rsid w:val="00F12A01"/>
    <w:rsid w:val="00F12E4F"/>
    <w:rsid w:val="00F13DA3"/>
    <w:rsid w:val="00F13FA6"/>
    <w:rsid w:val="00F14799"/>
    <w:rsid w:val="00F14B57"/>
    <w:rsid w:val="00F154BC"/>
    <w:rsid w:val="00F160EC"/>
    <w:rsid w:val="00F1663A"/>
    <w:rsid w:val="00F16EAE"/>
    <w:rsid w:val="00F172B8"/>
    <w:rsid w:val="00F17919"/>
    <w:rsid w:val="00F2001D"/>
    <w:rsid w:val="00F20163"/>
    <w:rsid w:val="00F218C2"/>
    <w:rsid w:val="00F21B86"/>
    <w:rsid w:val="00F21C66"/>
    <w:rsid w:val="00F21EA4"/>
    <w:rsid w:val="00F22156"/>
    <w:rsid w:val="00F222D7"/>
    <w:rsid w:val="00F22C0D"/>
    <w:rsid w:val="00F23481"/>
    <w:rsid w:val="00F239FD"/>
    <w:rsid w:val="00F23C8E"/>
    <w:rsid w:val="00F24739"/>
    <w:rsid w:val="00F24744"/>
    <w:rsid w:val="00F24CB0"/>
    <w:rsid w:val="00F25686"/>
    <w:rsid w:val="00F25850"/>
    <w:rsid w:val="00F2596C"/>
    <w:rsid w:val="00F25EDA"/>
    <w:rsid w:val="00F25F76"/>
    <w:rsid w:val="00F26C84"/>
    <w:rsid w:val="00F272CA"/>
    <w:rsid w:val="00F2764B"/>
    <w:rsid w:val="00F27CB5"/>
    <w:rsid w:val="00F27CC2"/>
    <w:rsid w:val="00F303F2"/>
    <w:rsid w:val="00F30AEA"/>
    <w:rsid w:val="00F30FA5"/>
    <w:rsid w:val="00F31433"/>
    <w:rsid w:val="00F31C10"/>
    <w:rsid w:val="00F32A8F"/>
    <w:rsid w:val="00F33F1A"/>
    <w:rsid w:val="00F34378"/>
    <w:rsid w:val="00F34675"/>
    <w:rsid w:val="00F348EC"/>
    <w:rsid w:val="00F3559F"/>
    <w:rsid w:val="00F35A1D"/>
    <w:rsid w:val="00F360A5"/>
    <w:rsid w:val="00F360FF"/>
    <w:rsid w:val="00F36444"/>
    <w:rsid w:val="00F366A3"/>
    <w:rsid w:val="00F36AEE"/>
    <w:rsid w:val="00F36BC1"/>
    <w:rsid w:val="00F40416"/>
    <w:rsid w:val="00F4084B"/>
    <w:rsid w:val="00F40C87"/>
    <w:rsid w:val="00F40E6D"/>
    <w:rsid w:val="00F4121B"/>
    <w:rsid w:val="00F41517"/>
    <w:rsid w:val="00F418A6"/>
    <w:rsid w:val="00F41ED4"/>
    <w:rsid w:val="00F42207"/>
    <w:rsid w:val="00F42A0A"/>
    <w:rsid w:val="00F42D04"/>
    <w:rsid w:val="00F43155"/>
    <w:rsid w:val="00F435E3"/>
    <w:rsid w:val="00F43E5A"/>
    <w:rsid w:val="00F44B6C"/>
    <w:rsid w:val="00F44FD6"/>
    <w:rsid w:val="00F461A9"/>
    <w:rsid w:val="00F46523"/>
    <w:rsid w:val="00F46843"/>
    <w:rsid w:val="00F46B5D"/>
    <w:rsid w:val="00F47B47"/>
    <w:rsid w:val="00F5017F"/>
    <w:rsid w:val="00F50730"/>
    <w:rsid w:val="00F513E8"/>
    <w:rsid w:val="00F51724"/>
    <w:rsid w:val="00F518BD"/>
    <w:rsid w:val="00F52BC8"/>
    <w:rsid w:val="00F5301A"/>
    <w:rsid w:val="00F53205"/>
    <w:rsid w:val="00F5345F"/>
    <w:rsid w:val="00F534E7"/>
    <w:rsid w:val="00F53E19"/>
    <w:rsid w:val="00F54535"/>
    <w:rsid w:val="00F5466C"/>
    <w:rsid w:val="00F54915"/>
    <w:rsid w:val="00F5663D"/>
    <w:rsid w:val="00F569C2"/>
    <w:rsid w:val="00F5794B"/>
    <w:rsid w:val="00F57A5C"/>
    <w:rsid w:val="00F6097A"/>
    <w:rsid w:val="00F61AF7"/>
    <w:rsid w:val="00F61E19"/>
    <w:rsid w:val="00F62487"/>
    <w:rsid w:val="00F624E2"/>
    <w:rsid w:val="00F62D8E"/>
    <w:rsid w:val="00F65338"/>
    <w:rsid w:val="00F65622"/>
    <w:rsid w:val="00F661ED"/>
    <w:rsid w:val="00F679BD"/>
    <w:rsid w:val="00F7072F"/>
    <w:rsid w:val="00F709A7"/>
    <w:rsid w:val="00F70D5B"/>
    <w:rsid w:val="00F7184F"/>
    <w:rsid w:val="00F71AD8"/>
    <w:rsid w:val="00F73129"/>
    <w:rsid w:val="00F734AC"/>
    <w:rsid w:val="00F734B4"/>
    <w:rsid w:val="00F73505"/>
    <w:rsid w:val="00F73678"/>
    <w:rsid w:val="00F73C38"/>
    <w:rsid w:val="00F746BB"/>
    <w:rsid w:val="00F74A75"/>
    <w:rsid w:val="00F763F5"/>
    <w:rsid w:val="00F77321"/>
    <w:rsid w:val="00F7792E"/>
    <w:rsid w:val="00F77CC6"/>
    <w:rsid w:val="00F801C4"/>
    <w:rsid w:val="00F80F6C"/>
    <w:rsid w:val="00F811DE"/>
    <w:rsid w:val="00F812A1"/>
    <w:rsid w:val="00F818AA"/>
    <w:rsid w:val="00F83E20"/>
    <w:rsid w:val="00F84C6F"/>
    <w:rsid w:val="00F84D10"/>
    <w:rsid w:val="00F84E00"/>
    <w:rsid w:val="00F853B6"/>
    <w:rsid w:val="00F854A0"/>
    <w:rsid w:val="00F86576"/>
    <w:rsid w:val="00F86D9C"/>
    <w:rsid w:val="00F86E56"/>
    <w:rsid w:val="00F8710C"/>
    <w:rsid w:val="00F8713C"/>
    <w:rsid w:val="00F8716A"/>
    <w:rsid w:val="00F8719F"/>
    <w:rsid w:val="00F873CD"/>
    <w:rsid w:val="00F874FA"/>
    <w:rsid w:val="00F876CB"/>
    <w:rsid w:val="00F900D2"/>
    <w:rsid w:val="00F909DD"/>
    <w:rsid w:val="00F90CD2"/>
    <w:rsid w:val="00F90ECE"/>
    <w:rsid w:val="00F9101B"/>
    <w:rsid w:val="00F939C3"/>
    <w:rsid w:val="00F93AF2"/>
    <w:rsid w:val="00F94200"/>
    <w:rsid w:val="00F94E9E"/>
    <w:rsid w:val="00F960A2"/>
    <w:rsid w:val="00F97603"/>
    <w:rsid w:val="00F97880"/>
    <w:rsid w:val="00F97F67"/>
    <w:rsid w:val="00FA00AB"/>
    <w:rsid w:val="00FA0190"/>
    <w:rsid w:val="00FA1252"/>
    <w:rsid w:val="00FA16D5"/>
    <w:rsid w:val="00FA1951"/>
    <w:rsid w:val="00FA1E06"/>
    <w:rsid w:val="00FA36FE"/>
    <w:rsid w:val="00FA3C83"/>
    <w:rsid w:val="00FA50AC"/>
    <w:rsid w:val="00FA52D9"/>
    <w:rsid w:val="00FA5501"/>
    <w:rsid w:val="00FA584F"/>
    <w:rsid w:val="00FA5F8B"/>
    <w:rsid w:val="00FA6048"/>
    <w:rsid w:val="00FA619A"/>
    <w:rsid w:val="00FA6A72"/>
    <w:rsid w:val="00FA7AC8"/>
    <w:rsid w:val="00FB01F1"/>
    <w:rsid w:val="00FB04B4"/>
    <w:rsid w:val="00FB0CD8"/>
    <w:rsid w:val="00FB0D7F"/>
    <w:rsid w:val="00FB0E46"/>
    <w:rsid w:val="00FB2637"/>
    <w:rsid w:val="00FB2A66"/>
    <w:rsid w:val="00FB2F17"/>
    <w:rsid w:val="00FB339B"/>
    <w:rsid w:val="00FB4573"/>
    <w:rsid w:val="00FB5835"/>
    <w:rsid w:val="00FB6A30"/>
    <w:rsid w:val="00FB719F"/>
    <w:rsid w:val="00FB7BB9"/>
    <w:rsid w:val="00FC1110"/>
    <w:rsid w:val="00FC1377"/>
    <w:rsid w:val="00FC13B0"/>
    <w:rsid w:val="00FC18A6"/>
    <w:rsid w:val="00FC19FE"/>
    <w:rsid w:val="00FC2464"/>
    <w:rsid w:val="00FC24F1"/>
    <w:rsid w:val="00FC280D"/>
    <w:rsid w:val="00FC28B6"/>
    <w:rsid w:val="00FC31AE"/>
    <w:rsid w:val="00FC3880"/>
    <w:rsid w:val="00FC3D2B"/>
    <w:rsid w:val="00FC3FC6"/>
    <w:rsid w:val="00FC4319"/>
    <w:rsid w:val="00FC44C9"/>
    <w:rsid w:val="00FC454E"/>
    <w:rsid w:val="00FC477B"/>
    <w:rsid w:val="00FC4D9D"/>
    <w:rsid w:val="00FC54C9"/>
    <w:rsid w:val="00FC5DE2"/>
    <w:rsid w:val="00FC6166"/>
    <w:rsid w:val="00FC659A"/>
    <w:rsid w:val="00FC6AF7"/>
    <w:rsid w:val="00FC7107"/>
    <w:rsid w:val="00FC7FE2"/>
    <w:rsid w:val="00FD0027"/>
    <w:rsid w:val="00FD0266"/>
    <w:rsid w:val="00FD0E0E"/>
    <w:rsid w:val="00FD12C1"/>
    <w:rsid w:val="00FD1D01"/>
    <w:rsid w:val="00FD2433"/>
    <w:rsid w:val="00FD2E5B"/>
    <w:rsid w:val="00FD3223"/>
    <w:rsid w:val="00FD35A8"/>
    <w:rsid w:val="00FD3B30"/>
    <w:rsid w:val="00FD4176"/>
    <w:rsid w:val="00FD4A89"/>
    <w:rsid w:val="00FD7AAC"/>
    <w:rsid w:val="00FE02D3"/>
    <w:rsid w:val="00FE02F6"/>
    <w:rsid w:val="00FE0835"/>
    <w:rsid w:val="00FE0F06"/>
    <w:rsid w:val="00FE111A"/>
    <w:rsid w:val="00FE13B7"/>
    <w:rsid w:val="00FE1833"/>
    <w:rsid w:val="00FE1CEA"/>
    <w:rsid w:val="00FE2371"/>
    <w:rsid w:val="00FE33F2"/>
    <w:rsid w:val="00FE3B4D"/>
    <w:rsid w:val="00FE3DC5"/>
    <w:rsid w:val="00FE4877"/>
    <w:rsid w:val="00FE4BA0"/>
    <w:rsid w:val="00FE4D79"/>
    <w:rsid w:val="00FE4E14"/>
    <w:rsid w:val="00FE55B3"/>
    <w:rsid w:val="00FE576A"/>
    <w:rsid w:val="00FE5C54"/>
    <w:rsid w:val="00FE5DD3"/>
    <w:rsid w:val="00FE61CC"/>
    <w:rsid w:val="00FE6C00"/>
    <w:rsid w:val="00FE7A60"/>
    <w:rsid w:val="00FF0096"/>
    <w:rsid w:val="00FF023D"/>
    <w:rsid w:val="00FF02A0"/>
    <w:rsid w:val="00FF0356"/>
    <w:rsid w:val="00FF0B14"/>
    <w:rsid w:val="00FF0D27"/>
    <w:rsid w:val="00FF0E9F"/>
    <w:rsid w:val="00FF110A"/>
    <w:rsid w:val="00FF1893"/>
    <w:rsid w:val="00FF1B9B"/>
    <w:rsid w:val="00FF2200"/>
    <w:rsid w:val="00FF22FC"/>
    <w:rsid w:val="00FF29E5"/>
    <w:rsid w:val="00FF2B9E"/>
    <w:rsid w:val="00FF30DF"/>
    <w:rsid w:val="00FF3603"/>
    <w:rsid w:val="00FF3E9F"/>
    <w:rsid w:val="00FF4504"/>
    <w:rsid w:val="00FF4A17"/>
    <w:rsid w:val="00FF4B79"/>
    <w:rsid w:val="00FF5587"/>
    <w:rsid w:val="00FF5A88"/>
    <w:rsid w:val="00FF6CC8"/>
    <w:rsid w:val="00FF6F49"/>
    <w:rsid w:val="00FF7055"/>
    <w:rsid w:val="00FF787C"/>
    <w:rsid w:val="00FF7C54"/>
    <w:rsid w:val="014632E9"/>
    <w:rsid w:val="0175413A"/>
    <w:rsid w:val="019509B6"/>
    <w:rsid w:val="019B2F5B"/>
    <w:rsid w:val="01A71A6C"/>
    <w:rsid w:val="01B36D86"/>
    <w:rsid w:val="01B40473"/>
    <w:rsid w:val="01F23D45"/>
    <w:rsid w:val="020F1EA4"/>
    <w:rsid w:val="02251BD6"/>
    <w:rsid w:val="022F5D5F"/>
    <w:rsid w:val="02825266"/>
    <w:rsid w:val="02DC4358"/>
    <w:rsid w:val="02E90077"/>
    <w:rsid w:val="02F561BC"/>
    <w:rsid w:val="02F569A7"/>
    <w:rsid w:val="041B280B"/>
    <w:rsid w:val="041D7F29"/>
    <w:rsid w:val="041F7A75"/>
    <w:rsid w:val="0429078C"/>
    <w:rsid w:val="048A5A1B"/>
    <w:rsid w:val="049F0298"/>
    <w:rsid w:val="04BF30A6"/>
    <w:rsid w:val="04C74770"/>
    <w:rsid w:val="052E71C8"/>
    <w:rsid w:val="054502A8"/>
    <w:rsid w:val="055572C6"/>
    <w:rsid w:val="055F0975"/>
    <w:rsid w:val="057432F2"/>
    <w:rsid w:val="0599158D"/>
    <w:rsid w:val="05B80AAA"/>
    <w:rsid w:val="05F777BA"/>
    <w:rsid w:val="064C75F3"/>
    <w:rsid w:val="066D2B9B"/>
    <w:rsid w:val="06781A50"/>
    <w:rsid w:val="06DD2F24"/>
    <w:rsid w:val="07164A23"/>
    <w:rsid w:val="07965FA9"/>
    <w:rsid w:val="07B1140D"/>
    <w:rsid w:val="07B7062C"/>
    <w:rsid w:val="07DD595F"/>
    <w:rsid w:val="07F56F4C"/>
    <w:rsid w:val="080F509E"/>
    <w:rsid w:val="08220661"/>
    <w:rsid w:val="08446EC4"/>
    <w:rsid w:val="085F6C1D"/>
    <w:rsid w:val="086230FE"/>
    <w:rsid w:val="0864660C"/>
    <w:rsid w:val="08954099"/>
    <w:rsid w:val="08997D49"/>
    <w:rsid w:val="089A529D"/>
    <w:rsid w:val="08BE3E25"/>
    <w:rsid w:val="08C155B8"/>
    <w:rsid w:val="08F42A39"/>
    <w:rsid w:val="08F43FF8"/>
    <w:rsid w:val="09073C7F"/>
    <w:rsid w:val="09214FC6"/>
    <w:rsid w:val="09314259"/>
    <w:rsid w:val="093D54B6"/>
    <w:rsid w:val="0961529C"/>
    <w:rsid w:val="09BF20E9"/>
    <w:rsid w:val="0A1C2B05"/>
    <w:rsid w:val="0A225C7A"/>
    <w:rsid w:val="0A303EC3"/>
    <w:rsid w:val="0A7205DA"/>
    <w:rsid w:val="0A9654F9"/>
    <w:rsid w:val="0A9E5F43"/>
    <w:rsid w:val="0AD26B4D"/>
    <w:rsid w:val="0B150DBA"/>
    <w:rsid w:val="0B1C521B"/>
    <w:rsid w:val="0B2343E8"/>
    <w:rsid w:val="0B38404A"/>
    <w:rsid w:val="0B3C11A9"/>
    <w:rsid w:val="0B625136"/>
    <w:rsid w:val="0B915565"/>
    <w:rsid w:val="0BD157FE"/>
    <w:rsid w:val="0BE449F4"/>
    <w:rsid w:val="0C20100D"/>
    <w:rsid w:val="0C305F40"/>
    <w:rsid w:val="0C503983"/>
    <w:rsid w:val="0C605560"/>
    <w:rsid w:val="0C902DBA"/>
    <w:rsid w:val="0CA92646"/>
    <w:rsid w:val="0CAF3705"/>
    <w:rsid w:val="0CBC42F9"/>
    <w:rsid w:val="0CBD198D"/>
    <w:rsid w:val="0D120CE2"/>
    <w:rsid w:val="0D2327C7"/>
    <w:rsid w:val="0D3A347C"/>
    <w:rsid w:val="0D7C4814"/>
    <w:rsid w:val="0D9F7809"/>
    <w:rsid w:val="0DA24FE4"/>
    <w:rsid w:val="0DD978F7"/>
    <w:rsid w:val="0DE85846"/>
    <w:rsid w:val="0DF65F43"/>
    <w:rsid w:val="0E820826"/>
    <w:rsid w:val="0EDE0CEC"/>
    <w:rsid w:val="0EF177F4"/>
    <w:rsid w:val="0F111D94"/>
    <w:rsid w:val="0F153424"/>
    <w:rsid w:val="0F3A26DF"/>
    <w:rsid w:val="0F3F429D"/>
    <w:rsid w:val="0F724E3C"/>
    <w:rsid w:val="0F7667E1"/>
    <w:rsid w:val="0F9F1262"/>
    <w:rsid w:val="0FCD3553"/>
    <w:rsid w:val="0FE02352"/>
    <w:rsid w:val="0FF05A42"/>
    <w:rsid w:val="1006446F"/>
    <w:rsid w:val="10091463"/>
    <w:rsid w:val="10245A5E"/>
    <w:rsid w:val="1029260B"/>
    <w:rsid w:val="102E4F10"/>
    <w:rsid w:val="105A2EE1"/>
    <w:rsid w:val="105C4311"/>
    <w:rsid w:val="105F1EE1"/>
    <w:rsid w:val="10900479"/>
    <w:rsid w:val="10B2641F"/>
    <w:rsid w:val="10DF0360"/>
    <w:rsid w:val="112D30D5"/>
    <w:rsid w:val="116B5B74"/>
    <w:rsid w:val="11A96B4F"/>
    <w:rsid w:val="11CE5256"/>
    <w:rsid w:val="12095857"/>
    <w:rsid w:val="122C027D"/>
    <w:rsid w:val="127C1E3F"/>
    <w:rsid w:val="12A84AB1"/>
    <w:rsid w:val="12B13F2B"/>
    <w:rsid w:val="12CD11AB"/>
    <w:rsid w:val="12EF4E12"/>
    <w:rsid w:val="12FF28F2"/>
    <w:rsid w:val="131E6CE5"/>
    <w:rsid w:val="13273CCC"/>
    <w:rsid w:val="13325B24"/>
    <w:rsid w:val="13343D76"/>
    <w:rsid w:val="134B30F8"/>
    <w:rsid w:val="13743C7E"/>
    <w:rsid w:val="137E0FF1"/>
    <w:rsid w:val="13915879"/>
    <w:rsid w:val="13CB100B"/>
    <w:rsid w:val="13DE00ED"/>
    <w:rsid w:val="13ED7B05"/>
    <w:rsid w:val="140046DA"/>
    <w:rsid w:val="14071828"/>
    <w:rsid w:val="14164AE9"/>
    <w:rsid w:val="14196BF0"/>
    <w:rsid w:val="14265E1B"/>
    <w:rsid w:val="143174A5"/>
    <w:rsid w:val="1433674E"/>
    <w:rsid w:val="146F1D7A"/>
    <w:rsid w:val="1482202B"/>
    <w:rsid w:val="14AA5727"/>
    <w:rsid w:val="14B860E1"/>
    <w:rsid w:val="14C31248"/>
    <w:rsid w:val="15145B9D"/>
    <w:rsid w:val="15797D94"/>
    <w:rsid w:val="158373A2"/>
    <w:rsid w:val="1585488A"/>
    <w:rsid w:val="159D3DBA"/>
    <w:rsid w:val="15AE1677"/>
    <w:rsid w:val="15BC42B5"/>
    <w:rsid w:val="15C251DC"/>
    <w:rsid w:val="15C43439"/>
    <w:rsid w:val="15FB4B13"/>
    <w:rsid w:val="161C6FBD"/>
    <w:rsid w:val="16273DFF"/>
    <w:rsid w:val="165E0201"/>
    <w:rsid w:val="16712BA1"/>
    <w:rsid w:val="169615FB"/>
    <w:rsid w:val="16BC43FC"/>
    <w:rsid w:val="16BE185B"/>
    <w:rsid w:val="16F0551D"/>
    <w:rsid w:val="16F073D2"/>
    <w:rsid w:val="16F972E0"/>
    <w:rsid w:val="170B1EA5"/>
    <w:rsid w:val="170E781E"/>
    <w:rsid w:val="173979C2"/>
    <w:rsid w:val="173F2A13"/>
    <w:rsid w:val="17534970"/>
    <w:rsid w:val="1762315A"/>
    <w:rsid w:val="17851FD1"/>
    <w:rsid w:val="17B61B95"/>
    <w:rsid w:val="180A2E6A"/>
    <w:rsid w:val="18316564"/>
    <w:rsid w:val="183A5F45"/>
    <w:rsid w:val="18734D26"/>
    <w:rsid w:val="188320E8"/>
    <w:rsid w:val="188B3FAB"/>
    <w:rsid w:val="18AA5C6C"/>
    <w:rsid w:val="19492D9B"/>
    <w:rsid w:val="19770119"/>
    <w:rsid w:val="197A5E53"/>
    <w:rsid w:val="19E73B4D"/>
    <w:rsid w:val="19F15F01"/>
    <w:rsid w:val="1A011B96"/>
    <w:rsid w:val="1A6D5B7E"/>
    <w:rsid w:val="1AA6291A"/>
    <w:rsid w:val="1AF23D50"/>
    <w:rsid w:val="1AFA71C6"/>
    <w:rsid w:val="1AFE15AE"/>
    <w:rsid w:val="1B0D22B7"/>
    <w:rsid w:val="1B440441"/>
    <w:rsid w:val="1B4447F4"/>
    <w:rsid w:val="1B704F5A"/>
    <w:rsid w:val="1BBC6AEF"/>
    <w:rsid w:val="1BC0342B"/>
    <w:rsid w:val="1BC7354C"/>
    <w:rsid w:val="1BEE0485"/>
    <w:rsid w:val="1BFB3C89"/>
    <w:rsid w:val="1C63306D"/>
    <w:rsid w:val="1CA02D01"/>
    <w:rsid w:val="1CB201D8"/>
    <w:rsid w:val="1CD46DC5"/>
    <w:rsid w:val="1CDA15AB"/>
    <w:rsid w:val="1E1460F1"/>
    <w:rsid w:val="1E1E7BBA"/>
    <w:rsid w:val="1E2816A5"/>
    <w:rsid w:val="1E2B45A7"/>
    <w:rsid w:val="1E2C442F"/>
    <w:rsid w:val="1E366767"/>
    <w:rsid w:val="1E6E0897"/>
    <w:rsid w:val="1E983EF1"/>
    <w:rsid w:val="1EAF06F7"/>
    <w:rsid w:val="1EFA48BB"/>
    <w:rsid w:val="1F0602BA"/>
    <w:rsid w:val="1F4047B1"/>
    <w:rsid w:val="1F4C3FEE"/>
    <w:rsid w:val="1F6C2DC2"/>
    <w:rsid w:val="1FAE3AE5"/>
    <w:rsid w:val="1FAE475F"/>
    <w:rsid w:val="1FD94FC9"/>
    <w:rsid w:val="20263F0A"/>
    <w:rsid w:val="2048646E"/>
    <w:rsid w:val="204C27A7"/>
    <w:rsid w:val="204D4198"/>
    <w:rsid w:val="20AF4299"/>
    <w:rsid w:val="212C3297"/>
    <w:rsid w:val="216D6944"/>
    <w:rsid w:val="217D7535"/>
    <w:rsid w:val="21AD0AEE"/>
    <w:rsid w:val="21BB572B"/>
    <w:rsid w:val="21CB18BC"/>
    <w:rsid w:val="21D85F9F"/>
    <w:rsid w:val="21DA7D02"/>
    <w:rsid w:val="21E346E2"/>
    <w:rsid w:val="21E8205D"/>
    <w:rsid w:val="222D7967"/>
    <w:rsid w:val="22307E2A"/>
    <w:rsid w:val="226A2144"/>
    <w:rsid w:val="22EE1B76"/>
    <w:rsid w:val="231A57A9"/>
    <w:rsid w:val="23610373"/>
    <w:rsid w:val="23623CB1"/>
    <w:rsid w:val="23B470A1"/>
    <w:rsid w:val="23C05C28"/>
    <w:rsid w:val="23CC3F18"/>
    <w:rsid w:val="23E3479C"/>
    <w:rsid w:val="24106DC4"/>
    <w:rsid w:val="24374EB9"/>
    <w:rsid w:val="244F7756"/>
    <w:rsid w:val="24CE1F79"/>
    <w:rsid w:val="25036998"/>
    <w:rsid w:val="25824BFC"/>
    <w:rsid w:val="25A22A6B"/>
    <w:rsid w:val="26904567"/>
    <w:rsid w:val="26C857CF"/>
    <w:rsid w:val="26D92385"/>
    <w:rsid w:val="26F75030"/>
    <w:rsid w:val="273830D5"/>
    <w:rsid w:val="276E2D1B"/>
    <w:rsid w:val="279E38CD"/>
    <w:rsid w:val="27CC3C98"/>
    <w:rsid w:val="27EC3350"/>
    <w:rsid w:val="27FD5441"/>
    <w:rsid w:val="28106F71"/>
    <w:rsid w:val="283D4C74"/>
    <w:rsid w:val="28682063"/>
    <w:rsid w:val="28AC55C6"/>
    <w:rsid w:val="28B626F0"/>
    <w:rsid w:val="28C628A7"/>
    <w:rsid w:val="29065F32"/>
    <w:rsid w:val="2908513C"/>
    <w:rsid w:val="290B7C29"/>
    <w:rsid w:val="291561D9"/>
    <w:rsid w:val="292C1838"/>
    <w:rsid w:val="295B62C7"/>
    <w:rsid w:val="296E45B5"/>
    <w:rsid w:val="29BD4FDE"/>
    <w:rsid w:val="29EE476C"/>
    <w:rsid w:val="2A090F19"/>
    <w:rsid w:val="2A8719D2"/>
    <w:rsid w:val="2B04334A"/>
    <w:rsid w:val="2B12230A"/>
    <w:rsid w:val="2B184F2D"/>
    <w:rsid w:val="2B293A52"/>
    <w:rsid w:val="2B317991"/>
    <w:rsid w:val="2B644ED3"/>
    <w:rsid w:val="2B7A34A4"/>
    <w:rsid w:val="2B9220D0"/>
    <w:rsid w:val="2BCC17CB"/>
    <w:rsid w:val="2C22488E"/>
    <w:rsid w:val="2C237394"/>
    <w:rsid w:val="2C83757E"/>
    <w:rsid w:val="2D146F8E"/>
    <w:rsid w:val="2D1D4122"/>
    <w:rsid w:val="2D8C0B81"/>
    <w:rsid w:val="2DA11543"/>
    <w:rsid w:val="2DB92BDE"/>
    <w:rsid w:val="2E6C7A58"/>
    <w:rsid w:val="2EBD0B2A"/>
    <w:rsid w:val="2F124C61"/>
    <w:rsid w:val="2F126BFA"/>
    <w:rsid w:val="2F7D6315"/>
    <w:rsid w:val="2F821415"/>
    <w:rsid w:val="2F886105"/>
    <w:rsid w:val="2FC13BB7"/>
    <w:rsid w:val="301A7CA0"/>
    <w:rsid w:val="304A18FE"/>
    <w:rsid w:val="3062775B"/>
    <w:rsid w:val="30E35132"/>
    <w:rsid w:val="311C10D7"/>
    <w:rsid w:val="31367793"/>
    <w:rsid w:val="31406C84"/>
    <w:rsid w:val="316D2EB7"/>
    <w:rsid w:val="31A35E21"/>
    <w:rsid w:val="31C972B1"/>
    <w:rsid w:val="31E235D3"/>
    <w:rsid w:val="31F478E9"/>
    <w:rsid w:val="32194793"/>
    <w:rsid w:val="32236D84"/>
    <w:rsid w:val="323908DF"/>
    <w:rsid w:val="32513EDC"/>
    <w:rsid w:val="3258488C"/>
    <w:rsid w:val="32B02B9E"/>
    <w:rsid w:val="32B25B2C"/>
    <w:rsid w:val="32C97FDC"/>
    <w:rsid w:val="32CA7C4D"/>
    <w:rsid w:val="331E4257"/>
    <w:rsid w:val="332E0487"/>
    <w:rsid w:val="33500D6A"/>
    <w:rsid w:val="335B30FF"/>
    <w:rsid w:val="3397037B"/>
    <w:rsid w:val="33B10C4D"/>
    <w:rsid w:val="33B27235"/>
    <w:rsid w:val="33F02396"/>
    <w:rsid w:val="33F3596F"/>
    <w:rsid w:val="340B47B5"/>
    <w:rsid w:val="341F665C"/>
    <w:rsid w:val="34312F30"/>
    <w:rsid w:val="34436B2D"/>
    <w:rsid w:val="34773E9B"/>
    <w:rsid w:val="34795D5D"/>
    <w:rsid w:val="349A13A6"/>
    <w:rsid w:val="34A409EA"/>
    <w:rsid w:val="34D114FE"/>
    <w:rsid w:val="34EC7728"/>
    <w:rsid w:val="350C6DC6"/>
    <w:rsid w:val="35195B42"/>
    <w:rsid w:val="352F5A80"/>
    <w:rsid w:val="353A7AEE"/>
    <w:rsid w:val="355C48AD"/>
    <w:rsid w:val="35733457"/>
    <w:rsid w:val="35B52861"/>
    <w:rsid w:val="35C9792B"/>
    <w:rsid w:val="35DD6145"/>
    <w:rsid w:val="35E71B3F"/>
    <w:rsid w:val="35F136B9"/>
    <w:rsid w:val="35F51DEE"/>
    <w:rsid w:val="361969A5"/>
    <w:rsid w:val="364F3C36"/>
    <w:rsid w:val="368169B0"/>
    <w:rsid w:val="36EE315B"/>
    <w:rsid w:val="370D2FE1"/>
    <w:rsid w:val="3710508A"/>
    <w:rsid w:val="37170F30"/>
    <w:rsid w:val="371A67CE"/>
    <w:rsid w:val="37501D7A"/>
    <w:rsid w:val="37B073B9"/>
    <w:rsid w:val="37BB18F6"/>
    <w:rsid w:val="37CC37DB"/>
    <w:rsid w:val="37D36D87"/>
    <w:rsid w:val="37D72575"/>
    <w:rsid w:val="37EB7C40"/>
    <w:rsid w:val="385C1855"/>
    <w:rsid w:val="38B04559"/>
    <w:rsid w:val="38D728CB"/>
    <w:rsid w:val="38FA6BB4"/>
    <w:rsid w:val="38FF7C7A"/>
    <w:rsid w:val="39175A59"/>
    <w:rsid w:val="392A0E82"/>
    <w:rsid w:val="39EF7005"/>
    <w:rsid w:val="3A176189"/>
    <w:rsid w:val="3A1D7CF6"/>
    <w:rsid w:val="3A7E410A"/>
    <w:rsid w:val="3AD84799"/>
    <w:rsid w:val="3B80020A"/>
    <w:rsid w:val="3B850194"/>
    <w:rsid w:val="3B9C06C1"/>
    <w:rsid w:val="3BF13813"/>
    <w:rsid w:val="3BF92F19"/>
    <w:rsid w:val="3C035BF0"/>
    <w:rsid w:val="3C097401"/>
    <w:rsid w:val="3C24446C"/>
    <w:rsid w:val="3C88781A"/>
    <w:rsid w:val="3CA12326"/>
    <w:rsid w:val="3CB20043"/>
    <w:rsid w:val="3CD70CBD"/>
    <w:rsid w:val="3D366D54"/>
    <w:rsid w:val="3D7B76F6"/>
    <w:rsid w:val="3DB1150E"/>
    <w:rsid w:val="3DBC1248"/>
    <w:rsid w:val="3DCF4B3C"/>
    <w:rsid w:val="3E20597F"/>
    <w:rsid w:val="3E572D08"/>
    <w:rsid w:val="3E783194"/>
    <w:rsid w:val="3EBD717E"/>
    <w:rsid w:val="3EE41D9C"/>
    <w:rsid w:val="3EEB2EF4"/>
    <w:rsid w:val="3F1A404E"/>
    <w:rsid w:val="3F1F49A3"/>
    <w:rsid w:val="3F2B6877"/>
    <w:rsid w:val="3F30708E"/>
    <w:rsid w:val="3F60143E"/>
    <w:rsid w:val="3F6F511E"/>
    <w:rsid w:val="3F821AAD"/>
    <w:rsid w:val="400B0FDF"/>
    <w:rsid w:val="40154B9D"/>
    <w:rsid w:val="4032497A"/>
    <w:rsid w:val="4044666A"/>
    <w:rsid w:val="404B4A8B"/>
    <w:rsid w:val="405C3D06"/>
    <w:rsid w:val="406313A5"/>
    <w:rsid w:val="406902F7"/>
    <w:rsid w:val="40CF483A"/>
    <w:rsid w:val="413D156A"/>
    <w:rsid w:val="41475608"/>
    <w:rsid w:val="41582062"/>
    <w:rsid w:val="41664B3E"/>
    <w:rsid w:val="41886BB1"/>
    <w:rsid w:val="4191191D"/>
    <w:rsid w:val="419F5BE0"/>
    <w:rsid w:val="41B7206A"/>
    <w:rsid w:val="41E41EB2"/>
    <w:rsid w:val="423678D9"/>
    <w:rsid w:val="427B6EAC"/>
    <w:rsid w:val="429720F1"/>
    <w:rsid w:val="42DC79F3"/>
    <w:rsid w:val="43065E58"/>
    <w:rsid w:val="430A3B9B"/>
    <w:rsid w:val="43180379"/>
    <w:rsid w:val="43265BB0"/>
    <w:rsid w:val="434540EF"/>
    <w:rsid w:val="436151BF"/>
    <w:rsid w:val="43654E22"/>
    <w:rsid w:val="438356FB"/>
    <w:rsid w:val="438D3C08"/>
    <w:rsid w:val="43FA6480"/>
    <w:rsid w:val="4413082D"/>
    <w:rsid w:val="442C5971"/>
    <w:rsid w:val="444D6DC4"/>
    <w:rsid w:val="4458601E"/>
    <w:rsid w:val="44A130E5"/>
    <w:rsid w:val="44AC2148"/>
    <w:rsid w:val="44BD3DB1"/>
    <w:rsid w:val="44BF379D"/>
    <w:rsid w:val="44C333F6"/>
    <w:rsid w:val="44FC5B23"/>
    <w:rsid w:val="45235E97"/>
    <w:rsid w:val="45277C55"/>
    <w:rsid w:val="4530540F"/>
    <w:rsid w:val="453F2812"/>
    <w:rsid w:val="45C9097F"/>
    <w:rsid w:val="45FA7080"/>
    <w:rsid w:val="45FE3470"/>
    <w:rsid w:val="46431EDC"/>
    <w:rsid w:val="46697469"/>
    <w:rsid w:val="466E7FD7"/>
    <w:rsid w:val="46864E66"/>
    <w:rsid w:val="468B77B0"/>
    <w:rsid w:val="46A62917"/>
    <w:rsid w:val="46AD248C"/>
    <w:rsid w:val="46B05A1F"/>
    <w:rsid w:val="46B30A16"/>
    <w:rsid w:val="46CB3EBF"/>
    <w:rsid w:val="46EB494F"/>
    <w:rsid w:val="46F46CD2"/>
    <w:rsid w:val="47A44169"/>
    <w:rsid w:val="47F367DF"/>
    <w:rsid w:val="47FE3D88"/>
    <w:rsid w:val="481C6658"/>
    <w:rsid w:val="48201648"/>
    <w:rsid w:val="48802209"/>
    <w:rsid w:val="488E4C19"/>
    <w:rsid w:val="48977D09"/>
    <w:rsid w:val="48AD0CF3"/>
    <w:rsid w:val="48B167B2"/>
    <w:rsid w:val="491318AF"/>
    <w:rsid w:val="49213B85"/>
    <w:rsid w:val="4958476A"/>
    <w:rsid w:val="495A2786"/>
    <w:rsid w:val="496B0D1A"/>
    <w:rsid w:val="4970518C"/>
    <w:rsid w:val="49C02F57"/>
    <w:rsid w:val="49F726BA"/>
    <w:rsid w:val="4A207FA8"/>
    <w:rsid w:val="4A421E6C"/>
    <w:rsid w:val="4A670FC1"/>
    <w:rsid w:val="4A6A453D"/>
    <w:rsid w:val="4A80575A"/>
    <w:rsid w:val="4A877F3D"/>
    <w:rsid w:val="4A964267"/>
    <w:rsid w:val="4AA56A1B"/>
    <w:rsid w:val="4AA72F06"/>
    <w:rsid w:val="4AC25C75"/>
    <w:rsid w:val="4AC93BE1"/>
    <w:rsid w:val="4AD64A5E"/>
    <w:rsid w:val="4AE055C0"/>
    <w:rsid w:val="4AEF0C90"/>
    <w:rsid w:val="4AFD4332"/>
    <w:rsid w:val="4B0A4B1A"/>
    <w:rsid w:val="4B1D2D0C"/>
    <w:rsid w:val="4B3410A0"/>
    <w:rsid w:val="4B3E48AB"/>
    <w:rsid w:val="4BBA64DC"/>
    <w:rsid w:val="4BCE3C5B"/>
    <w:rsid w:val="4BF73ABB"/>
    <w:rsid w:val="4C152702"/>
    <w:rsid w:val="4C156D39"/>
    <w:rsid w:val="4C1F0E5E"/>
    <w:rsid w:val="4C272AAE"/>
    <w:rsid w:val="4C2F4EFD"/>
    <w:rsid w:val="4C4869B3"/>
    <w:rsid w:val="4C5941D4"/>
    <w:rsid w:val="4C63329F"/>
    <w:rsid w:val="4CA2085B"/>
    <w:rsid w:val="4CC36B68"/>
    <w:rsid w:val="4CD3764B"/>
    <w:rsid w:val="4CEB65B0"/>
    <w:rsid w:val="4D06420E"/>
    <w:rsid w:val="4D2821A1"/>
    <w:rsid w:val="4D3A7FCF"/>
    <w:rsid w:val="4D8F5013"/>
    <w:rsid w:val="4DAE1288"/>
    <w:rsid w:val="4E393BDC"/>
    <w:rsid w:val="4E4677F9"/>
    <w:rsid w:val="4E5959D6"/>
    <w:rsid w:val="4E73410D"/>
    <w:rsid w:val="4E8237BA"/>
    <w:rsid w:val="4E9904C8"/>
    <w:rsid w:val="4ECF3EEA"/>
    <w:rsid w:val="4EFB60F2"/>
    <w:rsid w:val="4F2212D8"/>
    <w:rsid w:val="4F6A758C"/>
    <w:rsid w:val="4F6E2A45"/>
    <w:rsid w:val="4F7169E8"/>
    <w:rsid w:val="50250628"/>
    <w:rsid w:val="50B214FA"/>
    <w:rsid w:val="51060C07"/>
    <w:rsid w:val="511013F5"/>
    <w:rsid w:val="51247909"/>
    <w:rsid w:val="512C0E07"/>
    <w:rsid w:val="51412E90"/>
    <w:rsid w:val="51592273"/>
    <w:rsid w:val="51933C1F"/>
    <w:rsid w:val="51B23518"/>
    <w:rsid w:val="51E83400"/>
    <w:rsid w:val="51E9169C"/>
    <w:rsid w:val="51FA4D68"/>
    <w:rsid w:val="525F5585"/>
    <w:rsid w:val="527A6FAB"/>
    <w:rsid w:val="52912188"/>
    <w:rsid w:val="529201CD"/>
    <w:rsid w:val="52972F71"/>
    <w:rsid w:val="52C15D02"/>
    <w:rsid w:val="52D6599B"/>
    <w:rsid w:val="52E91785"/>
    <w:rsid w:val="52F76A7C"/>
    <w:rsid w:val="53050A32"/>
    <w:rsid w:val="530D0E18"/>
    <w:rsid w:val="53417B32"/>
    <w:rsid w:val="53540D68"/>
    <w:rsid w:val="53784016"/>
    <w:rsid w:val="539258C0"/>
    <w:rsid w:val="53CA553A"/>
    <w:rsid w:val="53CB7339"/>
    <w:rsid w:val="53EE27D4"/>
    <w:rsid w:val="5418333D"/>
    <w:rsid w:val="5422191A"/>
    <w:rsid w:val="543C0C79"/>
    <w:rsid w:val="54430630"/>
    <w:rsid w:val="54A42A14"/>
    <w:rsid w:val="54B44640"/>
    <w:rsid w:val="54B7033E"/>
    <w:rsid w:val="55066D0E"/>
    <w:rsid w:val="550C2450"/>
    <w:rsid w:val="55246D0D"/>
    <w:rsid w:val="555070E2"/>
    <w:rsid w:val="55563EB3"/>
    <w:rsid w:val="55794BB0"/>
    <w:rsid w:val="558D3920"/>
    <w:rsid w:val="55A158CA"/>
    <w:rsid w:val="55D33CA3"/>
    <w:rsid w:val="55E66029"/>
    <w:rsid w:val="55FC037D"/>
    <w:rsid w:val="563C2A6A"/>
    <w:rsid w:val="567F0EB9"/>
    <w:rsid w:val="5691764F"/>
    <w:rsid w:val="56961C67"/>
    <w:rsid w:val="56983EB7"/>
    <w:rsid w:val="56AF7C16"/>
    <w:rsid w:val="570E6588"/>
    <w:rsid w:val="571C68B6"/>
    <w:rsid w:val="571F1E19"/>
    <w:rsid w:val="572D7A56"/>
    <w:rsid w:val="57360303"/>
    <w:rsid w:val="575B26B9"/>
    <w:rsid w:val="5787490D"/>
    <w:rsid w:val="57A57A93"/>
    <w:rsid w:val="57A8352A"/>
    <w:rsid w:val="57BF5437"/>
    <w:rsid w:val="57C41CA4"/>
    <w:rsid w:val="57C44B08"/>
    <w:rsid w:val="57CF3250"/>
    <w:rsid w:val="57D347E7"/>
    <w:rsid w:val="57D77378"/>
    <w:rsid w:val="57EB75F1"/>
    <w:rsid w:val="57F66214"/>
    <w:rsid w:val="57FD09DF"/>
    <w:rsid w:val="580E7831"/>
    <w:rsid w:val="58104EF2"/>
    <w:rsid w:val="589E28FE"/>
    <w:rsid w:val="58B73EDF"/>
    <w:rsid w:val="58CC096A"/>
    <w:rsid w:val="58DE6470"/>
    <w:rsid w:val="59213623"/>
    <w:rsid w:val="592356A3"/>
    <w:rsid w:val="597A2963"/>
    <w:rsid w:val="597D22F9"/>
    <w:rsid w:val="59A610A7"/>
    <w:rsid w:val="59B0384A"/>
    <w:rsid w:val="59C8075D"/>
    <w:rsid w:val="5A0013FC"/>
    <w:rsid w:val="5A05584B"/>
    <w:rsid w:val="5A14433F"/>
    <w:rsid w:val="5A283243"/>
    <w:rsid w:val="5A546307"/>
    <w:rsid w:val="5A673229"/>
    <w:rsid w:val="5A812943"/>
    <w:rsid w:val="5B001FA0"/>
    <w:rsid w:val="5B247E49"/>
    <w:rsid w:val="5B5A50C0"/>
    <w:rsid w:val="5B6E4853"/>
    <w:rsid w:val="5B95255A"/>
    <w:rsid w:val="5BBC0AED"/>
    <w:rsid w:val="5BF1724E"/>
    <w:rsid w:val="5C413AE7"/>
    <w:rsid w:val="5C4E0A70"/>
    <w:rsid w:val="5C5C1C9E"/>
    <w:rsid w:val="5C5E00F3"/>
    <w:rsid w:val="5C677510"/>
    <w:rsid w:val="5C796835"/>
    <w:rsid w:val="5CFA60F2"/>
    <w:rsid w:val="5CFC7735"/>
    <w:rsid w:val="5D2F7311"/>
    <w:rsid w:val="5D4843F9"/>
    <w:rsid w:val="5D690F4C"/>
    <w:rsid w:val="5D78428A"/>
    <w:rsid w:val="5D906D45"/>
    <w:rsid w:val="5D9B37C9"/>
    <w:rsid w:val="5DDC4FDA"/>
    <w:rsid w:val="5DE77E61"/>
    <w:rsid w:val="5E265C9E"/>
    <w:rsid w:val="5E89042C"/>
    <w:rsid w:val="5EB427B5"/>
    <w:rsid w:val="5EC24ED2"/>
    <w:rsid w:val="5EC56A6D"/>
    <w:rsid w:val="5F053A9C"/>
    <w:rsid w:val="5F0A45FB"/>
    <w:rsid w:val="5F9E46B3"/>
    <w:rsid w:val="5FAA2D59"/>
    <w:rsid w:val="5FE51EA2"/>
    <w:rsid w:val="60114363"/>
    <w:rsid w:val="60207356"/>
    <w:rsid w:val="60214E88"/>
    <w:rsid w:val="60300161"/>
    <w:rsid w:val="60377F76"/>
    <w:rsid w:val="606C5EC2"/>
    <w:rsid w:val="60B40F9E"/>
    <w:rsid w:val="60BC1586"/>
    <w:rsid w:val="60C04D76"/>
    <w:rsid w:val="60E9182C"/>
    <w:rsid w:val="60F13358"/>
    <w:rsid w:val="60F1626E"/>
    <w:rsid w:val="60FC79C9"/>
    <w:rsid w:val="615157EB"/>
    <w:rsid w:val="615A5895"/>
    <w:rsid w:val="618E1BF9"/>
    <w:rsid w:val="61AF0ED0"/>
    <w:rsid w:val="61E02939"/>
    <w:rsid w:val="62133007"/>
    <w:rsid w:val="62372395"/>
    <w:rsid w:val="624D36A0"/>
    <w:rsid w:val="62540C53"/>
    <w:rsid w:val="625C66EF"/>
    <w:rsid w:val="62630A6C"/>
    <w:rsid w:val="626B1AB8"/>
    <w:rsid w:val="62714F3F"/>
    <w:rsid w:val="62885C85"/>
    <w:rsid w:val="6315416A"/>
    <w:rsid w:val="631953C1"/>
    <w:rsid w:val="631E0968"/>
    <w:rsid w:val="633327F6"/>
    <w:rsid w:val="639749B9"/>
    <w:rsid w:val="63B4039B"/>
    <w:rsid w:val="63DE6C2B"/>
    <w:rsid w:val="63E03861"/>
    <w:rsid w:val="6418474F"/>
    <w:rsid w:val="64236413"/>
    <w:rsid w:val="64295F63"/>
    <w:rsid w:val="6446196A"/>
    <w:rsid w:val="644C2B4E"/>
    <w:rsid w:val="64577A52"/>
    <w:rsid w:val="64832C93"/>
    <w:rsid w:val="64910A0E"/>
    <w:rsid w:val="64FF649B"/>
    <w:rsid w:val="652B297D"/>
    <w:rsid w:val="652E32C1"/>
    <w:rsid w:val="65332E12"/>
    <w:rsid w:val="653922C9"/>
    <w:rsid w:val="65567863"/>
    <w:rsid w:val="65603695"/>
    <w:rsid w:val="656603E9"/>
    <w:rsid w:val="6580162D"/>
    <w:rsid w:val="65A96541"/>
    <w:rsid w:val="65C973EB"/>
    <w:rsid w:val="65CA728C"/>
    <w:rsid w:val="660526A1"/>
    <w:rsid w:val="66157FDD"/>
    <w:rsid w:val="66495594"/>
    <w:rsid w:val="664E2A8E"/>
    <w:rsid w:val="669B73CB"/>
    <w:rsid w:val="66B3286F"/>
    <w:rsid w:val="66B718D7"/>
    <w:rsid w:val="66E159F1"/>
    <w:rsid w:val="66F3057E"/>
    <w:rsid w:val="66F571FE"/>
    <w:rsid w:val="67226A1F"/>
    <w:rsid w:val="675836B8"/>
    <w:rsid w:val="67811BA8"/>
    <w:rsid w:val="67BE1C68"/>
    <w:rsid w:val="67D2709E"/>
    <w:rsid w:val="680B6ACA"/>
    <w:rsid w:val="682D7585"/>
    <w:rsid w:val="683D1B58"/>
    <w:rsid w:val="68403003"/>
    <w:rsid w:val="68556DB7"/>
    <w:rsid w:val="68784AF7"/>
    <w:rsid w:val="68E951A3"/>
    <w:rsid w:val="68ED77D0"/>
    <w:rsid w:val="68EF720B"/>
    <w:rsid w:val="68F12AE9"/>
    <w:rsid w:val="68F24489"/>
    <w:rsid w:val="6939727D"/>
    <w:rsid w:val="695E2516"/>
    <w:rsid w:val="69643755"/>
    <w:rsid w:val="696D4DCE"/>
    <w:rsid w:val="698439B6"/>
    <w:rsid w:val="69C371A3"/>
    <w:rsid w:val="69D46071"/>
    <w:rsid w:val="69D739F6"/>
    <w:rsid w:val="69DB131F"/>
    <w:rsid w:val="69E564FE"/>
    <w:rsid w:val="69FD1936"/>
    <w:rsid w:val="69FE5356"/>
    <w:rsid w:val="6A0F7F4D"/>
    <w:rsid w:val="6A551F65"/>
    <w:rsid w:val="6A6A7995"/>
    <w:rsid w:val="6AB7106F"/>
    <w:rsid w:val="6AE01E1B"/>
    <w:rsid w:val="6AEE4391"/>
    <w:rsid w:val="6B0F1B5B"/>
    <w:rsid w:val="6B120133"/>
    <w:rsid w:val="6B56051F"/>
    <w:rsid w:val="6B5A4B29"/>
    <w:rsid w:val="6B9464F2"/>
    <w:rsid w:val="6B964304"/>
    <w:rsid w:val="6B9A559B"/>
    <w:rsid w:val="6BC8755E"/>
    <w:rsid w:val="6C1219A5"/>
    <w:rsid w:val="6C7761FD"/>
    <w:rsid w:val="6C99462E"/>
    <w:rsid w:val="6C9D31EB"/>
    <w:rsid w:val="6CA65170"/>
    <w:rsid w:val="6CAC72F7"/>
    <w:rsid w:val="6CAF692E"/>
    <w:rsid w:val="6CE46C32"/>
    <w:rsid w:val="6D0738EF"/>
    <w:rsid w:val="6D11346F"/>
    <w:rsid w:val="6D662BCB"/>
    <w:rsid w:val="6D677D53"/>
    <w:rsid w:val="6D766CCB"/>
    <w:rsid w:val="6D9810F4"/>
    <w:rsid w:val="6DA82EE6"/>
    <w:rsid w:val="6DB17D4F"/>
    <w:rsid w:val="6DD96AC9"/>
    <w:rsid w:val="6E0232B1"/>
    <w:rsid w:val="6E4271BE"/>
    <w:rsid w:val="6E49392B"/>
    <w:rsid w:val="6E7A7F94"/>
    <w:rsid w:val="6E8410EE"/>
    <w:rsid w:val="6E876BAA"/>
    <w:rsid w:val="6EAC168D"/>
    <w:rsid w:val="6EAF2BF0"/>
    <w:rsid w:val="6EB6525B"/>
    <w:rsid w:val="6EC93996"/>
    <w:rsid w:val="6ED23E59"/>
    <w:rsid w:val="6F1362A1"/>
    <w:rsid w:val="6FA12783"/>
    <w:rsid w:val="6FA903EB"/>
    <w:rsid w:val="6FCE61FB"/>
    <w:rsid w:val="6FDA160C"/>
    <w:rsid w:val="70194B12"/>
    <w:rsid w:val="702E50FA"/>
    <w:rsid w:val="70455722"/>
    <w:rsid w:val="70AB4A08"/>
    <w:rsid w:val="70CE48CB"/>
    <w:rsid w:val="70D014B8"/>
    <w:rsid w:val="70D015AF"/>
    <w:rsid w:val="70D939A2"/>
    <w:rsid w:val="70DB0358"/>
    <w:rsid w:val="70FC7D85"/>
    <w:rsid w:val="711A6C1F"/>
    <w:rsid w:val="71573413"/>
    <w:rsid w:val="7196718A"/>
    <w:rsid w:val="71A016C0"/>
    <w:rsid w:val="71AC14EA"/>
    <w:rsid w:val="71CC00E9"/>
    <w:rsid w:val="71F41218"/>
    <w:rsid w:val="720E669D"/>
    <w:rsid w:val="72467548"/>
    <w:rsid w:val="72793441"/>
    <w:rsid w:val="728A2B98"/>
    <w:rsid w:val="728A5A2B"/>
    <w:rsid w:val="72A57C1E"/>
    <w:rsid w:val="72B86869"/>
    <w:rsid w:val="72C9440B"/>
    <w:rsid w:val="72E15F67"/>
    <w:rsid w:val="72EE1700"/>
    <w:rsid w:val="73277407"/>
    <w:rsid w:val="73373212"/>
    <w:rsid w:val="735A4A4D"/>
    <w:rsid w:val="735C45FC"/>
    <w:rsid w:val="73C81C8A"/>
    <w:rsid w:val="73C95900"/>
    <w:rsid w:val="73D301C7"/>
    <w:rsid w:val="73E831D5"/>
    <w:rsid w:val="740372BA"/>
    <w:rsid w:val="743E1534"/>
    <w:rsid w:val="74464594"/>
    <w:rsid w:val="745E1DE0"/>
    <w:rsid w:val="7476022A"/>
    <w:rsid w:val="75012739"/>
    <w:rsid w:val="75412B9C"/>
    <w:rsid w:val="759A0ED9"/>
    <w:rsid w:val="75BC22EF"/>
    <w:rsid w:val="75C8312A"/>
    <w:rsid w:val="75CD23E3"/>
    <w:rsid w:val="762C039A"/>
    <w:rsid w:val="76310BBF"/>
    <w:rsid w:val="763976B0"/>
    <w:rsid w:val="76AA059B"/>
    <w:rsid w:val="76B57CF3"/>
    <w:rsid w:val="76D554CF"/>
    <w:rsid w:val="76F72A5B"/>
    <w:rsid w:val="76F733EB"/>
    <w:rsid w:val="770B6F63"/>
    <w:rsid w:val="77334767"/>
    <w:rsid w:val="773437F6"/>
    <w:rsid w:val="774265BC"/>
    <w:rsid w:val="777B0DEF"/>
    <w:rsid w:val="77984CC5"/>
    <w:rsid w:val="77A74279"/>
    <w:rsid w:val="77BB75AD"/>
    <w:rsid w:val="77C110E7"/>
    <w:rsid w:val="77D60337"/>
    <w:rsid w:val="7805056B"/>
    <w:rsid w:val="782869C8"/>
    <w:rsid w:val="78546B92"/>
    <w:rsid w:val="78645E13"/>
    <w:rsid w:val="787456FE"/>
    <w:rsid w:val="78784A78"/>
    <w:rsid w:val="78A024C0"/>
    <w:rsid w:val="78AC7721"/>
    <w:rsid w:val="78BD484E"/>
    <w:rsid w:val="78CA2A0B"/>
    <w:rsid w:val="78CD3B44"/>
    <w:rsid w:val="78D36933"/>
    <w:rsid w:val="78DF7517"/>
    <w:rsid w:val="790A3A91"/>
    <w:rsid w:val="790C2C38"/>
    <w:rsid w:val="7943138F"/>
    <w:rsid w:val="79AE385E"/>
    <w:rsid w:val="79BF18B1"/>
    <w:rsid w:val="79C17D27"/>
    <w:rsid w:val="79C92109"/>
    <w:rsid w:val="79CD1DBC"/>
    <w:rsid w:val="79EE4229"/>
    <w:rsid w:val="7A26753D"/>
    <w:rsid w:val="7A822D05"/>
    <w:rsid w:val="7A9711E2"/>
    <w:rsid w:val="7AD524B0"/>
    <w:rsid w:val="7ADA0EC1"/>
    <w:rsid w:val="7B1762D1"/>
    <w:rsid w:val="7B777DE7"/>
    <w:rsid w:val="7B86755B"/>
    <w:rsid w:val="7BC46112"/>
    <w:rsid w:val="7BF41C4C"/>
    <w:rsid w:val="7C440165"/>
    <w:rsid w:val="7C854352"/>
    <w:rsid w:val="7C975798"/>
    <w:rsid w:val="7CD75AB7"/>
    <w:rsid w:val="7CE62D26"/>
    <w:rsid w:val="7CFB685F"/>
    <w:rsid w:val="7D23457F"/>
    <w:rsid w:val="7D811785"/>
    <w:rsid w:val="7D8141EA"/>
    <w:rsid w:val="7D97797F"/>
    <w:rsid w:val="7D9C1BC8"/>
    <w:rsid w:val="7DD16CFD"/>
    <w:rsid w:val="7DD20647"/>
    <w:rsid w:val="7DD26138"/>
    <w:rsid w:val="7DF63D4E"/>
    <w:rsid w:val="7E1577C2"/>
    <w:rsid w:val="7E2F6C16"/>
    <w:rsid w:val="7E350094"/>
    <w:rsid w:val="7E7F715F"/>
    <w:rsid w:val="7E843F12"/>
    <w:rsid w:val="7F0D6F25"/>
    <w:rsid w:val="7F3240D1"/>
    <w:rsid w:val="7F573143"/>
    <w:rsid w:val="7F606963"/>
    <w:rsid w:val="7F782629"/>
    <w:rsid w:val="7F800FD7"/>
    <w:rsid w:val="7F9A1827"/>
    <w:rsid w:val="7FFC5C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宋体" w:hAnsi="Times New Roman" w:eastAsia="宋体" w:cs="Times New Roman"/>
      <w:sz w:val="34"/>
      <w:lang w:val="en-US" w:eastAsia="zh-CN" w:bidi="ar-SA"/>
    </w:rPr>
  </w:style>
  <w:style w:type="paragraph" w:styleId="5">
    <w:name w:val="heading 1"/>
    <w:basedOn w:val="1"/>
    <w:next w:val="1"/>
    <w:qFormat/>
    <w:uiPriority w:val="0"/>
    <w:pPr>
      <w:keepNext/>
      <w:outlineLvl w:val="0"/>
    </w:pPr>
    <w:rPr>
      <w:rFonts w:ascii="Times New Roman"/>
      <w:b/>
      <w:bCs/>
      <w:color w:val="000000"/>
      <w:sz w:val="24"/>
    </w:rPr>
  </w:style>
  <w:style w:type="paragraph" w:styleId="6">
    <w:name w:val="heading 2"/>
    <w:basedOn w:val="1"/>
    <w:next w:val="1"/>
    <w:link w:val="70"/>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link w:val="57"/>
    <w:qFormat/>
    <w:uiPriority w:val="0"/>
    <w:pPr>
      <w:keepNext/>
      <w:keepLines/>
      <w:autoSpaceDE/>
      <w:autoSpaceDN/>
      <w:spacing w:before="260" w:after="260" w:line="416" w:lineRule="atLeast"/>
      <w:jc w:val="both"/>
      <w:outlineLvl w:val="2"/>
    </w:pPr>
    <w:rPr>
      <w:rFonts w:ascii="Times New Roman"/>
      <w:b/>
      <w:sz w:val="32"/>
    </w:rPr>
  </w:style>
  <w:style w:type="paragraph" w:styleId="8">
    <w:name w:val="heading 4"/>
    <w:basedOn w:val="1"/>
    <w:next w:val="4"/>
    <w:qFormat/>
    <w:uiPriority w:val="0"/>
    <w:pPr>
      <w:keepNext/>
      <w:keepLines/>
      <w:autoSpaceDE/>
      <w:autoSpaceDN/>
      <w:adjustRightInd/>
      <w:spacing w:before="280" w:after="290" w:line="376" w:lineRule="auto"/>
      <w:jc w:val="both"/>
      <w:outlineLvl w:val="3"/>
    </w:pPr>
    <w:rPr>
      <w:rFonts w:ascii="Arial" w:hAnsi="Arial" w:eastAsia="黑体"/>
      <w:b/>
      <w:kern w:val="2"/>
      <w:sz w:val="28"/>
    </w:rPr>
  </w:style>
  <w:style w:type="paragraph" w:styleId="9">
    <w:name w:val="heading 5"/>
    <w:basedOn w:val="1"/>
    <w:next w:val="4"/>
    <w:qFormat/>
    <w:uiPriority w:val="0"/>
    <w:pPr>
      <w:keepNext/>
      <w:keepLines/>
      <w:autoSpaceDE/>
      <w:autoSpaceDN/>
      <w:adjustRightInd/>
      <w:spacing w:before="280" w:after="290" w:line="376" w:lineRule="auto"/>
      <w:jc w:val="both"/>
      <w:outlineLvl w:val="4"/>
    </w:pPr>
    <w:rPr>
      <w:rFonts w:ascii="Times New Roman"/>
      <w:b/>
      <w:kern w:val="2"/>
      <w:sz w:val="28"/>
    </w:rPr>
  </w:style>
  <w:style w:type="paragraph" w:styleId="10">
    <w:name w:val="heading 6"/>
    <w:basedOn w:val="1"/>
    <w:next w:val="4"/>
    <w:qFormat/>
    <w:uiPriority w:val="0"/>
    <w:pPr>
      <w:keepNext/>
      <w:keepLines/>
      <w:autoSpaceDE/>
      <w:autoSpaceDN/>
      <w:adjustRightInd/>
      <w:spacing w:before="240" w:after="64" w:line="320" w:lineRule="auto"/>
      <w:jc w:val="both"/>
      <w:outlineLvl w:val="5"/>
    </w:pPr>
    <w:rPr>
      <w:rFonts w:ascii="Arial" w:hAnsi="Arial" w:eastAsia="黑体"/>
      <w:b/>
      <w:kern w:val="2"/>
      <w:sz w:val="24"/>
    </w:rPr>
  </w:style>
  <w:style w:type="paragraph" w:styleId="11">
    <w:name w:val="heading 7"/>
    <w:basedOn w:val="1"/>
    <w:next w:val="4"/>
    <w:qFormat/>
    <w:uiPriority w:val="0"/>
    <w:pPr>
      <w:keepNext/>
      <w:keepLines/>
      <w:autoSpaceDE/>
      <w:autoSpaceDN/>
      <w:adjustRightInd/>
      <w:spacing w:before="240" w:after="64" w:line="320" w:lineRule="auto"/>
      <w:jc w:val="both"/>
      <w:outlineLvl w:val="6"/>
    </w:pPr>
    <w:rPr>
      <w:rFonts w:ascii="Times New Roman"/>
      <w:b/>
      <w:kern w:val="2"/>
      <w:sz w:val="24"/>
    </w:rPr>
  </w:style>
  <w:style w:type="paragraph" w:styleId="12">
    <w:name w:val="heading 8"/>
    <w:basedOn w:val="1"/>
    <w:next w:val="4"/>
    <w:qFormat/>
    <w:uiPriority w:val="0"/>
    <w:pPr>
      <w:keepNext/>
      <w:keepLines/>
      <w:autoSpaceDE/>
      <w:autoSpaceDN/>
      <w:adjustRightInd/>
      <w:spacing w:before="240" w:after="64" w:line="320" w:lineRule="auto"/>
      <w:jc w:val="both"/>
      <w:outlineLvl w:val="7"/>
    </w:pPr>
    <w:rPr>
      <w:rFonts w:ascii="Arial" w:hAnsi="Arial" w:eastAsia="黑体"/>
      <w:kern w:val="2"/>
      <w:sz w:val="24"/>
    </w:rPr>
  </w:style>
  <w:style w:type="paragraph" w:styleId="13">
    <w:name w:val="heading 9"/>
    <w:basedOn w:val="1"/>
    <w:next w:val="4"/>
    <w:qFormat/>
    <w:uiPriority w:val="0"/>
    <w:pPr>
      <w:keepNext/>
      <w:keepLines/>
      <w:autoSpaceDE/>
      <w:autoSpaceDN/>
      <w:adjustRightInd/>
      <w:spacing w:before="240" w:after="64" w:line="320" w:lineRule="auto"/>
      <w:jc w:val="both"/>
      <w:outlineLvl w:val="8"/>
    </w:pPr>
    <w:rPr>
      <w:rFonts w:ascii="Arial" w:hAnsi="Arial" w:eastAsia="黑体"/>
      <w:kern w:val="2"/>
      <w:sz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pPr>
  </w:style>
  <w:style w:type="paragraph" w:styleId="3">
    <w:name w:val="Body Text Indent"/>
    <w:basedOn w:val="1"/>
    <w:next w:val="4"/>
    <w:qFormat/>
    <w:uiPriority w:val="0"/>
    <w:pPr>
      <w:adjustRightInd/>
      <w:ind w:firstLine="900"/>
      <w:jc w:val="both"/>
    </w:pPr>
    <w:rPr>
      <w:rFonts w:ascii="Times New Roman"/>
      <w:kern w:val="2"/>
      <w:sz w:val="28"/>
    </w:rPr>
  </w:style>
  <w:style w:type="paragraph" w:styleId="4">
    <w:name w:val="Normal Indent"/>
    <w:basedOn w:val="1"/>
    <w:next w:val="3"/>
    <w:qFormat/>
    <w:uiPriority w:val="0"/>
    <w:pPr>
      <w:autoSpaceDE/>
      <w:autoSpaceDN/>
      <w:adjustRightInd/>
      <w:ind w:firstLine="420"/>
      <w:jc w:val="both"/>
    </w:pPr>
    <w:rPr>
      <w:rFonts w:ascii="Times New Roman"/>
      <w:kern w:val="2"/>
      <w:sz w:val="21"/>
    </w:rPr>
  </w:style>
  <w:style w:type="paragraph" w:styleId="14">
    <w:name w:val="toc 7"/>
    <w:basedOn w:val="1"/>
    <w:next w:val="1"/>
    <w:qFormat/>
    <w:uiPriority w:val="0"/>
    <w:pPr>
      <w:ind w:left="2040"/>
    </w:pPr>
    <w:rPr>
      <w:rFonts w:ascii="Times New Roman"/>
      <w:sz w:val="18"/>
      <w:szCs w:val="18"/>
    </w:rPr>
  </w:style>
  <w:style w:type="paragraph" w:styleId="15">
    <w:name w:val="table of authorities"/>
    <w:basedOn w:val="1"/>
    <w:next w:val="1"/>
    <w:unhideWhenUsed/>
    <w:qFormat/>
    <w:uiPriority w:val="99"/>
    <w:pPr>
      <w:ind w:left="420" w:leftChars="200"/>
    </w:pPr>
  </w:style>
  <w:style w:type="paragraph" w:styleId="16">
    <w:name w:val="List Number"/>
    <w:basedOn w:val="1"/>
    <w:qFormat/>
    <w:uiPriority w:val="0"/>
    <w:pPr>
      <w:widowControl/>
      <w:tabs>
        <w:tab w:val="left" w:pos="454"/>
        <w:tab w:val="left" w:pos="720"/>
        <w:tab w:val="left" w:pos="927"/>
      </w:tabs>
      <w:autoSpaceDE/>
      <w:autoSpaceDN/>
      <w:adjustRightInd/>
      <w:spacing w:afterLines="50"/>
      <w:ind w:left="454" w:hanging="284"/>
    </w:pPr>
    <w:rPr>
      <w:rFonts w:ascii="Times New Roman"/>
      <w:sz w:val="24"/>
    </w:rPr>
  </w:style>
  <w:style w:type="paragraph" w:styleId="17">
    <w:name w:val="caption"/>
    <w:basedOn w:val="1"/>
    <w:next w:val="1"/>
    <w:qFormat/>
    <w:uiPriority w:val="0"/>
    <w:pPr>
      <w:spacing w:before="152" w:after="160"/>
    </w:pPr>
    <w:rPr>
      <w:rFonts w:ascii="Arial" w:hAnsi="Arial" w:eastAsia="黑体"/>
    </w:rPr>
  </w:style>
  <w:style w:type="paragraph" w:styleId="18">
    <w:name w:val="Document Map"/>
    <w:basedOn w:val="1"/>
    <w:qFormat/>
    <w:uiPriority w:val="0"/>
    <w:pPr>
      <w:shd w:val="clear" w:color="auto" w:fill="000080"/>
    </w:pPr>
    <w:rPr>
      <w:rFonts w:ascii="Times New Roman"/>
    </w:rPr>
  </w:style>
  <w:style w:type="paragraph" w:styleId="19">
    <w:name w:val="annotation text"/>
    <w:basedOn w:val="1"/>
    <w:link w:val="64"/>
    <w:qFormat/>
    <w:uiPriority w:val="0"/>
  </w:style>
  <w:style w:type="paragraph" w:styleId="20">
    <w:name w:val="Body Text 3"/>
    <w:basedOn w:val="1"/>
    <w:qFormat/>
    <w:uiPriority w:val="0"/>
    <w:pPr>
      <w:spacing w:line="640" w:lineRule="atLeast"/>
    </w:pPr>
    <w:rPr>
      <w:rFonts w:ascii="Times New Roman"/>
      <w:color w:val="000000"/>
      <w:sz w:val="28"/>
    </w:rPr>
  </w:style>
  <w:style w:type="paragraph" w:styleId="21">
    <w:name w:val="Body Text"/>
    <w:basedOn w:val="1"/>
    <w:next w:val="22"/>
    <w:qFormat/>
    <w:uiPriority w:val="0"/>
    <w:rPr>
      <w:rFonts w:ascii="Times New Roman"/>
      <w:sz w:val="28"/>
    </w:rPr>
  </w:style>
  <w:style w:type="paragraph" w:styleId="22">
    <w:name w:val="Body Text First Indent"/>
    <w:basedOn w:val="21"/>
    <w:next w:val="1"/>
    <w:qFormat/>
    <w:uiPriority w:val="0"/>
    <w:pPr>
      <w:ind w:firstLine="420" w:firstLineChars="100"/>
    </w:pPr>
  </w:style>
  <w:style w:type="paragraph" w:styleId="23">
    <w:name w:val="List 2"/>
    <w:basedOn w:val="1"/>
    <w:qFormat/>
    <w:uiPriority w:val="0"/>
    <w:pPr>
      <w:ind w:left="100" w:leftChars="200" w:hanging="200" w:hangingChars="200"/>
    </w:pPr>
    <w:rPr>
      <w:rFonts w:ascii="Times New Roman"/>
    </w:rPr>
  </w:style>
  <w:style w:type="paragraph" w:styleId="24">
    <w:name w:val="Block Text"/>
    <w:basedOn w:val="1"/>
    <w:unhideWhenUsed/>
    <w:qFormat/>
    <w:uiPriority w:val="99"/>
    <w:pPr>
      <w:spacing w:line="300" w:lineRule="auto"/>
      <w:ind w:left="958" w:right="-120" w:rightChars="-120"/>
    </w:pPr>
    <w:rPr>
      <w:rFonts w:hAnsi="宋体"/>
      <w:sz w:val="28"/>
    </w:rPr>
  </w:style>
  <w:style w:type="paragraph" w:styleId="25">
    <w:name w:val="toc 5"/>
    <w:basedOn w:val="1"/>
    <w:next w:val="1"/>
    <w:qFormat/>
    <w:uiPriority w:val="0"/>
    <w:pPr>
      <w:ind w:left="1360"/>
    </w:pPr>
    <w:rPr>
      <w:rFonts w:ascii="Times New Roman"/>
      <w:sz w:val="18"/>
      <w:szCs w:val="18"/>
    </w:rPr>
  </w:style>
  <w:style w:type="paragraph" w:styleId="26">
    <w:name w:val="toc 3"/>
    <w:basedOn w:val="1"/>
    <w:next w:val="1"/>
    <w:qFormat/>
    <w:uiPriority w:val="0"/>
    <w:pPr>
      <w:ind w:left="680"/>
    </w:pPr>
    <w:rPr>
      <w:rFonts w:ascii="Times New Roman"/>
      <w:i/>
      <w:iCs/>
      <w:sz w:val="20"/>
    </w:rPr>
  </w:style>
  <w:style w:type="paragraph" w:styleId="27">
    <w:name w:val="Plain Text"/>
    <w:basedOn w:val="1"/>
    <w:next w:val="28"/>
    <w:link w:val="107"/>
    <w:qFormat/>
    <w:uiPriority w:val="0"/>
    <w:rPr>
      <w:rFonts w:ascii="Times New Roman" w:hAnsi="Courier New" w:cs="Courier New"/>
      <w:szCs w:val="21"/>
    </w:rPr>
  </w:style>
  <w:style w:type="paragraph" w:styleId="28">
    <w:name w:val="toc 2"/>
    <w:basedOn w:val="1"/>
    <w:next w:val="1"/>
    <w:qFormat/>
    <w:uiPriority w:val="0"/>
    <w:pPr>
      <w:tabs>
        <w:tab w:val="right" w:leader="dot" w:pos="9440"/>
      </w:tabs>
      <w:spacing w:line="380" w:lineRule="atLeast"/>
      <w:ind w:right="-133" w:rightChars="-39"/>
      <w:jc w:val="both"/>
    </w:pPr>
    <w:rPr>
      <w:rFonts w:ascii="Times New Roman"/>
      <w:smallCaps/>
      <w:color w:val="000000"/>
      <w:sz w:val="21"/>
      <w:szCs w:val="21"/>
    </w:rPr>
  </w:style>
  <w:style w:type="paragraph" w:styleId="29">
    <w:name w:val="toc 8"/>
    <w:basedOn w:val="1"/>
    <w:next w:val="1"/>
    <w:qFormat/>
    <w:uiPriority w:val="0"/>
    <w:pPr>
      <w:ind w:left="2380"/>
    </w:pPr>
    <w:rPr>
      <w:rFonts w:ascii="Times New Roman"/>
      <w:sz w:val="18"/>
      <w:szCs w:val="18"/>
    </w:rPr>
  </w:style>
  <w:style w:type="paragraph" w:styleId="30">
    <w:name w:val="Date"/>
    <w:basedOn w:val="1"/>
    <w:next w:val="1"/>
    <w:qFormat/>
    <w:uiPriority w:val="0"/>
    <w:pPr>
      <w:jc w:val="both"/>
    </w:pPr>
    <w:rPr>
      <w:rFonts w:ascii="Times New Roman"/>
      <w:sz w:val="28"/>
    </w:rPr>
  </w:style>
  <w:style w:type="paragraph" w:styleId="31">
    <w:name w:val="Body Text Indent 2"/>
    <w:basedOn w:val="1"/>
    <w:qFormat/>
    <w:uiPriority w:val="0"/>
    <w:pPr>
      <w:autoSpaceDE/>
      <w:autoSpaceDN/>
      <w:adjustRightInd/>
      <w:spacing w:line="360" w:lineRule="auto"/>
      <w:ind w:firstLine="720"/>
      <w:jc w:val="both"/>
    </w:pPr>
    <w:rPr>
      <w:rFonts w:ascii="Times New Roman"/>
      <w:kern w:val="2"/>
      <w:sz w:val="28"/>
    </w:rPr>
  </w:style>
  <w:style w:type="paragraph" w:styleId="32">
    <w:name w:val="Balloon Text"/>
    <w:basedOn w:val="1"/>
    <w:qFormat/>
    <w:uiPriority w:val="0"/>
    <w:rPr>
      <w:rFonts w:ascii="Times New Roman"/>
      <w:sz w:val="18"/>
      <w:szCs w:val="18"/>
    </w:rPr>
  </w:style>
  <w:style w:type="paragraph" w:styleId="33">
    <w:name w:val="footer"/>
    <w:basedOn w:val="1"/>
    <w:qFormat/>
    <w:uiPriority w:val="0"/>
    <w:pPr>
      <w:tabs>
        <w:tab w:val="center" w:pos="4140"/>
        <w:tab w:val="right" w:pos="8300"/>
      </w:tabs>
      <w:snapToGrid w:val="0"/>
    </w:pPr>
    <w:rPr>
      <w:rFonts w:ascii="Times New Roman"/>
      <w:sz w:val="18"/>
    </w:rPr>
  </w:style>
  <w:style w:type="paragraph" w:styleId="34">
    <w:name w:val="header"/>
    <w:basedOn w:val="1"/>
    <w:qFormat/>
    <w:uiPriority w:val="0"/>
    <w:pPr>
      <w:pBdr>
        <w:bottom w:val="single" w:color="000000" w:sz="6" w:space="1"/>
      </w:pBdr>
      <w:tabs>
        <w:tab w:val="center" w:pos="4140"/>
        <w:tab w:val="right" w:pos="8300"/>
      </w:tabs>
      <w:snapToGrid w:val="0"/>
      <w:jc w:val="center"/>
    </w:pPr>
    <w:rPr>
      <w:rFonts w:ascii="Times New Roman"/>
      <w:sz w:val="18"/>
    </w:rPr>
  </w:style>
  <w:style w:type="paragraph" w:styleId="35">
    <w:name w:val="toc 1"/>
    <w:basedOn w:val="1"/>
    <w:next w:val="1"/>
    <w:qFormat/>
    <w:uiPriority w:val="0"/>
    <w:pPr>
      <w:spacing w:before="120" w:after="120"/>
    </w:pPr>
    <w:rPr>
      <w:rFonts w:ascii="Times New Roman"/>
      <w:b/>
      <w:bCs/>
      <w:caps/>
      <w:sz w:val="20"/>
    </w:rPr>
  </w:style>
  <w:style w:type="paragraph" w:styleId="36">
    <w:name w:val="toc 4"/>
    <w:basedOn w:val="1"/>
    <w:next w:val="1"/>
    <w:qFormat/>
    <w:uiPriority w:val="0"/>
    <w:pPr>
      <w:ind w:left="1020"/>
    </w:pPr>
    <w:rPr>
      <w:rFonts w:ascii="Times New Roman"/>
      <w:sz w:val="18"/>
      <w:szCs w:val="18"/>
    </w:rPr>
  </w:style>
  <w:style w:type="paragraph" w:styleId="37">
    <w:name w:val="List"/>
    <w:basedOn w:val="1"/>
    <w:next w:val="1"/>
    <w:qFormat/>
    <w:uiPriority w:val="0"/>
    <w:pPr>
      <w:ind w:left="200" w:hanging="200" w:hangingChars="200"/>
    </w:pPr>
    <w:rPr>
      <w:rFonts w:ascii="Times New Roman"/>
    </w:rPr>
  </w:style>
  <w:style w:type="paragraph" w:styleId="38">
    <w:name w:val="footnote text"/>
    <w:basedOn w:val="1"/>
    <w:qFormat/>
    <w:uiPriority w:val="0"/>
    <w:pPr>
      <w:snapToGrid w:val="0"/>
    </w:pPr>
    <w:rPr>
      <w:rFonts w:ascii="Times New Roman"/>
      <w:sz w:val="18"/>
    </w:rPr>
  </w:style>
  <w:style w:type="paragraph" w:styleId="39">
    <w:name w:val="toc 6"/>
    <w:basedOn w:val="1"/>
    <w:next w:val="1"/>
    <w:qFormat/>
    <w:uiPriority w:val="0"/>
    <w:pPr>
      <w:ind w:left="1700"/>
    </w:pPr>
    <w:rPr>
      <w:rFonts w:ascii="Times New Roman"/>
      <w:sz w:val="18"/>
      <w:szCs w:val="18"/>
    </w:rPr>
  </w:style>
  <w:style w:type="paragraph" w:styleId="40">
    <w:name w:val="Body Text Indent 3"/>
    <w:basedOn w:val="1"/>
    <w:qFormat/>
    <w:uiPriority w:val="0"/>
    <w:pPr>
      <w:autoSpaceDE/>
      <w:autoSpaceDN/>
      <w:adjustRightInd/>
      <w:spacing w:line="360" w:lineRule="auto"/>
      <w:ind w:firstLine="540"/>
      <w:jc w:val="both"/>
    </w:pPr>
    <w:rPr>
      <w:rFonts w:ascii="Times New Roman"/>
      <w:kern w:val="2"/>
      <w:sz w:val="28"/>
    </w:rPr>
  </w:style>
  <w:style w:type="paragraph" w:styleId="41">
    <w:name w:val="toc 9"/>
    <w:basedOn w:val="1"/>
    <w:next w:val="1"/>
    <w:qFormat/>
    <w:uiPriority w:val="0"/>
    <w:pPr>
      <w:ind w:left="2720"/>
    </w:pPr>
    <w:rPr>
      <w:rFonts w:ascii="Times New Roman"/>
      <w:sz w:val="18"/>
      <w:szCs w:val="18"/>
    </w:rPr>
  </w:style>
  <w:style w:type="paragraph" w:styleId="42">
    <w:name w:val="Body Text 2"/>
    <w:basedOn w:val="1"/>
    <w:qFormat/>
    <w:uiPriority w:val="0"/>
    <w:pPr>
      <w:jc w:val="both"/>
    </w:pPr>
    <w:rPr>
      <w:rFonts w:ascii="Times New Roman"/>
      <w:sz w:val="28"/>
    </w:rPr>
  </w:style>
  <w:style w:type="paragraph" w:styleId="43">
    <w:name w:val="Normal (Web)"/>
    <w:basedOn w:val="1"/>
    <w:next w:val="1"/>
    <w:link w:val="73"/>
    <w:qFormat/>
    <w:uiPriority w:val="99"/>
    <w:pPr>
      <w:widowControl/>
      <w:autoSpaceDE/>
      <w:autoSpaceDN/>
      <w:adjustRightInd/>
      <w:spacing w:before="100" w:beforeAutospacing="1" w:after="100" w:afterAutospacing="1"/>
    </w:pPr>
    <w:rPr>
      <w:rFonts w:ascii="Times New Roman" w:hAnsi="宋体"/>
      <w:sz w:val="24"/>
      <w:szCs w:val="24"/>
    </w:rPr>
  </w:style>
  <w:style w:type="paragraph" w:styleId="44">
    <w:name w:val="Title"/>
    <w:basedOn w:val="1"/>
    <w:next w:val="1"/>
    <w:qFormat/>
    <w:uiPriority w:val="0"/>
    <w:pPr>
      <w:spacing w:before="240" w:after="60"/>
      <w:jc w:val="center"/>
      <w:outlineLvl w:val="0"/>
    </w:pPr>
    <w:rPr>
      <w:rFonts w:ascii="Cambria" w:hAnsi="Cambria"/>
      <w:b/>
      <w:bCs/>
      <w:sz w:val="32"/>
      <w:szCs w:val="32"/>
    </w:rPr>
  </w:style>
  <w:style w:type="paragraph" w:styleId="45">
    <w:name w:val="annotation subject"/>
    <w:basedOn w:val="19"/>
    <w:next w:val="19"/>
    <w:qFormat/>
    <w:uiPriority w:val="0"/>
    <w:rPr>
      <w:rFonts w:ascii="Times New Roman"/>
      <w:b/>
      <w:bCs/>
    </w:rPr>
  </w:style>
  <w:style w:type="table" w:styleId="47">
    <w:name w:val="Table Grid"/>
    <w:basedOn w:val="46"/>
    <w:qFormat/>
    <w:uiPriority w:val="0"/>
    <w:pPr>
      <w:widowControl w:val="0"/>
      <w:autoSpaceDE w:val="0"/>
      <w:autoSpaceDN w:val="0"/>
      <w:adjustRightInd w:val="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rFonts w:ascii="Times New Roman" w:hAnsi="Times New Roman" w:eastAsia="宋体" w:cs="Times New Roman"/>
      <w:b/>
      <w:bCs/>
    </w:rPr>
  </w:style>
  <w:style w:type="character" w:styleId="50">
    <w:name w:val="page number"/>
    <w:qFormat/>
    <w:uiPriority w:val="0"/>
    <w:rPr>
      <w:rFonts w:ascii="Times New Roman" w:hAnsi="Times New Roman" w:eastAsia="宋体" w:cs="Times New Roman"/>
    </w:rPr>
  </w:style>
  <w:style w:type="character" w:styleId="51">
    <w:name w:val="Hyperlink"/>
    <w:qFormat/>
    <w:uiPriority w:val="0"/>
    <w:rPr>
      <w:rFonts w:ascii="Times New Roman" w:hAnsi="Times New Roman" w:eastAsia="宋体" w:cs="Times New Roman"/>
      <w:color w:val="0000FF"/>
      <w:u w:val="single"/>
    </w:rPr>
  </w:style>
  <w:style w:type="character" w:styleId="52">
    <w:name w:val="annotation reference"/>
    <w:basedOn w:val="48"/>
    <w:qFormat/>
    <w:uiPriority w:val="0"/>
    <w:rPr>
      <w:rFonts w:ascii="Times New Roman" w:hAnsi="Times New Roman" w:eastAsia="宋体" w:cs="Times New Roman"/>
      <w:sz w:val="21"/>
    </w:rPr>
  </w:style>
  <w:style w:type="character" w:styleId="53">
    <w:name w:val="footnote reference"/>
    <w:qFormat/>
    <w:uiPriority w:val="0"/>
    <w:rPr>
      <w:rFonts w:ascii="Times New Roman" w:hAnsi="Times New Roman" w:eastAsia="宋体" w:cs="Times New Roman"/>
      <w:vertAlign w:val="superscript"/>
    </w:rPr>
  </w:style>
  <w:style w:type="paragraph" w:customStyle="1" w:styleId="54">
    <w:name w:val="xl53"/>
    <w:basedOn w:val="1"/>
    <w:next w:val="1"/>
    <w:qFormat/>
    <w:uiPriority w:val="0"/>
    <w:pPr>
      <w:spacing w:before="280" w:after="280" w:line="100" w:lineRule="exact"/>
      <w:jc w:val="center"/>
    </w:pPr>
    <w:rPr>
      <w:b/>
      <w:sz w:val="20"/>
    </w:rPr>
  </w:style>
  <w:style w:type="paragraph" w:customStyle="1" w:styleId="55">
    <w:name w:val="样式 正文文本缩进 + 首行缩进:  2 字符 行距: 1.5 倍行距"/>
    <w:basedOn w:val="3"/>
    <w:qFormat/>
    <w:uiPriority w:val="0"/>
    <w:pPr>
      <w:spacing w:line="360" w:lineRule="auto"/>
      <w:ind w:firstLine="482" w:firstLineChars="200"/>
    </w:pPr>
    <w:rPr>
      <w:rFonts w:cs="宋体"/>
      <w:b/>
    </w:rPr>
  </w:style>
  <w:style w:type="character" w:customStyle="1" w:styleId="56">
    <w:name w:val="font01"/>
    <w:basedOn w:val="48"/>
    <w:qFormat/>
    <w:uiPriority w:val="0"/>
    <w:rPr>
      <w:rFonts w:hint="eastAsia" w:ascii="宋体" w:hAnsi="宋体" w:eastAsia="宋体" w:cs="宋体"/>
      <w:color w:val="000000"/>
      <w:sz w:val="24"/>
      <w:szCs w:val="24"/>
      <w:u w:val="none"/>
    </w:rPr>
  </w:style>
  <w:style w:type="character" w:customStyle="1" w:styleId="57">
    <w:name w:val="标题 3 Char"/>
    <w:link w:val="7"/>
    <w:qFormat/>
    <w:uiPriority w:val="0"/>
    <w:rPr>
      <w:rFonts w:ascii="Times New Roman" w:hAnsi="Times New Roman" w:eastAsia="宋体" w:cs="Times New Roman"/>
      <w:b/>
      <w:sz w:val="32"/>
    </w:rPr>
  </w:style>
  <w:style w:type="character" w:customStyle="1" w:styleId="58">
    <w:name w:val="正文文本 Char"/>
    <w:qFormat/>
    <w:uiPriority w:val="0"/>
    <w:rPr>
      <w:rFonts w:ascii="宋体" w:hAnsi="Times New Roman" w:eastAsia="宋体" w:cs="Times New Roman"/>
      <w:sz w:val="28"/>
    </w:rPr>
  </w:style>
  <w:style w:type="character" w:customStyle="1" w:styleId="59">
    <w:name w:val="纯文本 Char"/>
    <w:qFormat/>
    <w:uiPriority w:val="0"/>
    <w:rPr>
      <w:rFonts w:ascii="宋体" w:hAnsi="Courier New" w:eastAsia="宋体" w:cs="Courier New"/>
      <w:sz w:val="34"/>
      <w:szCs w:val="21"/>
      <w:lang w:val="en-US" w:eastAsia="zh-CN" w:bidi="ar-SA"/>
    </w:rPr>
  </w:style>
  <w:style w:type="character" w:customStyle="1" w:styleId="60">
    <w:name w:val="font61"/>
    <w:qFormat/>
    <w:uiPriority w:val="0"/>
    <w:rPr>
      <w:rFonts w:hint="eastAsia" w:ascii="宋体" w:hAnsi="宋体" w:eastAsia="宋体" w:cs="宋体"/>
      <w:color w:val="000000"/>
      <w:sz w:val="24"/>
      <w:szCs w:val="24"/>
      <w:u w:val="none"/>
    </w:rPr>
  </w:style>
  <w:style w:type="character" w:customStyle="1" w:styleId="61">
    <w:name w:val="普通文字 Char Char2"/>
    <w:qFormat/>
    <w:uiPriority w:val="0"/>
    <w:rPr>
      <w:rFonts w:ascii="宋体" w:hAnsi="Courier New" w:eastAsia="宋体" w:cs="Courier New"/>
      <w:sz w:val="34"/>
      <w:szCs w:val="21"/>
      <w:lang w:val="en-US" w:eastAsia="zh-CN" w:bidi="ar-SA"/>
    </w:rPr>
  </w:style>
  <w:style w:type="character" w:customStyle="1" w:styleId="62">
    <w:name w:val="font41"/>
    <w:qFormat/>
    <w:uiPriority w:val="0"/>
    <w:rPr>
      <w:rFonts w:hint="default" w:ascii="Times New Roman" w:hAnsi="Times New Roman" w:eastAsia="宋体" w:cs="Times New Roman"/>
      <w:color w:val="000000"/>
      <w:sz w:val="24"/>
      <w:szCs w:val="24"/>
      <w:u w:val="none"/>
    </w:rPr>
  </w:style>
  <w:style w:type="character" w:customStyle="1" w:styleId="63">
    <w:name w:val="标题 1 Char"/>
    <w:qFormat/>
    <w:uiPriority w:val="0"/>
    <w:rPr>
      <w:rFonts w:ascii="宋体" w:hAnsi="Times New Roman" w:eastAsia="宋体" w:cs="Times New Roman"/>
      <w:b/>
      <w:color w:val="000000"/>
      <w:sz w:val="24"/>
    </w:rPr>
  </w:style>
  <w:style w:type="character" w:customStyle="1" w:styleId="64">
    <w:name w:val="批注文字 Char"/>
    <w:link w:val="19"/>
    <w:qFormat/>
    <w:uiPriority w:val="0"/>
    <w:rPr>
      <w:rFonts w:ascii="宋体" w:hAnsi="Times New Roman" w:eastAsia="宋体" w:cs="Times New Roman"/>
      <w:sz w:val="34"/>
    </w:rPr>
  </w:style>
  <w:style w:type="character" w:customStyle="1" w:styleId="65">
    <w:name w:val="font51"/>
    <w:basedOn w:val="48"/>
    <w:qFormat/>
    <w:uiPriority w:val="0"/>
    <w:rPr>
      <w:rFonts w:hint="default" w:ascii="Arial" w:hAnsi="Arial" w:cs="Arial"/>
      <w:color w:val="000000"/>
      <w:sz w:val="20"/>
      <w:szCs w:val="20"/>
      <w:u w:val="none"/>
    </w:rPr>
  </w:style>
  <w:style w:type="character" w:customStyle="1" w:styleId="66">
    <w:name w:val="NormalCharacter"/>
    <w:semiHidden/>
    <w:qFormat/>
    <w:uiPriority w:val="0"/>
    <w:rPr>
      <w:rFonts w:ascii="Times New Roman" w:hAnsi="Times New Roman" w:eastAsia="宋体" w:cs="Times New Roman"/>
      <w:kern w:val="2"/>
      <w:sz w:val="21"/>
      <w:szCs w:val="24"/>
      <w:lang w:val="en-US" w:eastAsia="zh-CN" w:bidi="ar-SA"/>
    </w:rPr>
  </w:style>
  <w:style w:type="character" w:customStyle="1" w:styleId="67">
    <w:name w:val="font31"/>
    <w:qFormat/>
    <w:uiPriority w:val="0"/>
    <w:rPr>
      <w:rFonts w:hint="default" w:ascii="Times New Roman" w:hAnsi="Times New Roman" w:eastAsia="宋体" w:cs="Times New Roman"/>
      <w:color w:val="000000"/>
      <w:sz w:val="24"/>
      <w:szCs w:val="24"/>
      <w:u w:val="none"/>
    </w:rPr>
  </w:style>
  <w:style w:type="character" w:customStyle="1" w:styleId="68">
    <w:name w:val="font71"/>
    <w:qFormat/>
    <w:uiPriority w:val="0"/>
    <w:rPr>
      <w:rFonts w:hint="eastAsia" w:ascii="宋体" w:hAnsi="宋体" w:eastAsia="宋体" w:cs="宋体"/>
      <w:color w:val="000000"/>
      <w:sz w:val="24"/>
      <w:szCs w:val="24"/>
      <w:u w:val="none"/>
    </w:rPr>
  </w:style>
  <w:style w:type="character" w:customStyle="1" w:styleId="69">
    <w:name w:val="页脚 Char"/>
    <w:qFormat/>
    <w:uiPriority w:val="0"/>
    <w:rPr>
      <w:rFonts w:ascii="宋体" w:hAnsi="Times New Roman" w:eastAsia="宋体" w:cs="Times New Roman"/>
      <w:sz w:val="18"/>
    </w:rPr>
  </w:style>
  <w:style w:type="character" w:customStyle="1" w:styleId="70">
    <w:name w:val="标题 2 Char"/>
    <w:link w:val="6"/>
    <w:qFormat/>
    <w:uiPriority w:val="0"/>
    <w:rPr>
      <w:rFonts w:ascii="Arial" w:hAnsi="Arial" w:eastAsia="黑体" w:cs="Times New Roman"/>
      <w:b/>
      <w:bCs/>
      <w:sz w:val="32"/>
      <w:szCs w:val="32"/>
    </w:rPr>
  </w:style>
  <w:style w:type="character" w:customStyle="1" w:styleId="71">
    <w:name w:val="font81"/>
    <w:basedOn w:val="48"/>
    <w:qFormat/>
    <w:uiPriority w:val="0"/>
    <w:rPr>
      <w:rFonts w:ascii="Arial" w:hAnsi="Arial" w:cs="Arial"/>
      <w:color w:val="000000"/>
      <w:sz w:val="20"/>
      <w:szCs w:val="20"/>
      <w:u w:val="none"/>
    </w:rPr>
  </w:style>
  <w:style w:type="character" w:customStyle="1" w:styleId="72">
    <w:name w:val="font11"/>
    <w:basedOn w:val="48"/>
    <w:qFormat/>
    <w:uiPriority w:val="0"/>
    <w:rPr>
      <w:rFonts w:hint="eastAsia" w:ascii="宋体" w:hAnsi="宋体" w:cs="宋体"/>
      <w:color w:val="000000"/>
      <w:sz w:val="20"/>
      <w:szCs w:val="20"/>
      <w:u w:val="none"/>
    </w:rPr>
  </w:style>
  <w:style w:type="character" w:customStyle="1" w:styleId="73">
    <w:name w:val="普通(网站) Char"/>
    <w:link w:val="43"/>
    <w:qFormat/>
    <w:uiPriority w:val="0"/>
    <w:rPr>
      <w:rFonts w:hAnsi="宋体"/>
      <w:sz w:val="24"/>
      <w:szCs w:val="24"/>
    </w:rPr>
  </w:style>
  <w:style w:type="character" w:customStyle="1" w:styleId="74">
    <w:name w:val="Char Char"/>
    <w:qFormat/>
    <w:uiPriority w:val="0"/>
    <w:rPr>
      <w:rFonts w:ascii="宋体" w:hAnsi="宋体" w:eastAsia="宋体" w:cs="Times New Roman"/>
      <w:sz w:val="24"/>
      <w:szCs w:val="24"/>
      <w:lang w:val="en-US" w:eastAsia="zh-CN" w:bidi="ar-SA"/>
    </w:rPr>
  </w:style>
  <w:style w:type="character" w:customStyle="1" w:styleId="75">
    <w:name w:val="font21"/>
    <w:basedOn w:val="48"/>
    <w:qFormat/>
    <w:uiPriority w:val="0"/>
    <w:rPr>
      <w:rFonts w:hint="eastAsia" w:ascii="宋体" w:hAnsi="宋体" w:eastAsia="宋体"/>
      <w:color w:val="000000"/>
      <w:sz w:val="22"/>
      <w:szCs w:val="22"/>
      <w:u w:val="none"/>
    </w:rPr>
  </w:style>
  <w:style w:type="character" w:customStyle="1" w:styleId="76">
    <w:name w:val="页眉 Char"/>
    <w:qFormat/>
    <w:uiPriority w:val="0"/>
    <w:rPr>
      <w:rFonts w:ascii="宋体" w:hAnsi="Times New Roman" w:eastAsia="宋体" w:cs="Times New Roman"/>
      <w:sz w:val="18"/>
    </w:rPr>
  </w:style>
  <w:style w:type="character" w:customStyle="1" w:styleId="77">
    <w:name w:val="正文文本 3 Char"/>
    <w:qFormat/>
    <w:uiPriority w:val="0"/>
    <w:rPr>
      <w:rFonts w:ascii="宋体" w:hAnsi="Times New Roman" w:eastAsia="宋体" w:cs="Times New Roman"/>
      <w:color w:val="000000"/>
      <w:sz w:val="28"/>
    </w:rPr>
  </w:style>
  <w:style w:type="character" w:customStyle="1" w:styleId="78">
    <w:name w:val="apple-converted-space"/>
    <w:qFormat/>
    <w:uiPriority w:val="0"/>
    <w:rPr>
      <w:rFonts w:ascii="Times New Roman" w:hAnsi="Times New Roman" w:eastAsia="宋体" w:cs="Times New Roman"/>
    </w:rPr>
  </w:style>
  <w:style w:type="paragraph" w:customStyle="1" w:styleId="79">
    <w:name w:val="2"/>
    <w:basedOn w:val="1"/>
    <w:next w:val="21"/>
    <w:qFormat/>
    <w:uiPriority w:val="0"/>
    <w:rPr>
      <w:rFonts w:ascii="Times New Roman"/>
      <w:sz w:val="28"/>
    </w:rPr>
  </w:style>
  <w:style w:type="paragraph" w:customStyle="1" w:styleId="80">
    <w:name w:val="p0"/>
    <w:basedOn w:val="1"/>
    <w:qFormat/>
    <w:uiPriority w:val="0"/>
    <w:pPr>
      <w:widowControl/>
      <w:autoSpaceDE/>
      <w:autoSpaceDN/>
      <w:adjustRightInd/>
      <w:jc w:val="both"/>
    </w:pPr>
    <w:rPr>
      <w:rFonts w:hint="eastAsia" w:ascii="Courier" w:hAnsi="Courier" w:eastAsia="MingLiU"/>
      <w:sz w:val="21"/>
      <w:lang w:eastAsia="zh-TW"/>
    </w:rPr>
  </w:style>
  <w:style w:type="paragraph" w:customStyle="1" w:styleId="81">
    <w:name w:val="xl35"/>
    <w:basedOn w:val="1"/>
    <w:qFormat/>
    <w:uiPriority w:val="0"/>
    <w:pPr>
      <w:widowControl/>
      <w:pBdr>
        <w:left w:val="single" w:color="auto" w:sz="4" w:space="0"/>
        <w:bottom w:val="single" w:color="auto" w:sz="4" w:space="0"/>
        <w:right w:val="single" w:color="auto" w:sz="4" w:space="0"/>
      </w:pBdr>
      <w:autoSpaceDE/>
      <w:autoSpaceDN/>
      <w:adjustRightInd/>
      <w:spacing w:before="100" w:beforeAutospacing="1" w:after="100" w:afterAutospacing="1"/>
      <w:jc w:val="both"/>
      <w:textAlignment w:val="center"/>
    </w:pPr>
    <w:rPr>
      <w:rFonts w:ascii="Arial Unicode MS" w:hAnsi="Arial Unicode MS" w:eastAsia="Arial Unicode MS"/>
      <w:sz w:val="24"/>
      <w:szCs w:val="24"/>
    </w:rPr>
  </w:style>
  <w:style w:type="paragraph" w:customStyle="1" w:styleId="82">
    <w:name w:val="Char Char Char Char Char Char Char"/>
    <w:basedOn w:val="1"/>
    <w:qFormat/>
    <w:uiPriority w:val="0"/>
    <w:pPr>
      <w:autoSpaceDE/>
      <w:autoSpaceDN/>
      <w:adjustRightInd/>
      <w:jc w:val="both"/>
    </w:pPr>
    <w:rPr>
      <w:rFonts w:ascii="Times New Roman"/>
      <w:kern w:val="2"/>
      <w:sz w:val="21"/>
    </w:rPr>
  </w:style>
  <w:style w:type="paragraph" w:customStyle="1" w:styleId="83">
    <w:name w:val="正文段"/>
    <w:basedOn w:val="1"/>
    <w:qFormat/>
    <w:uiPriority w:val="0"/>
    <w:pPr>
      <w:widowControl/>
      <w:autoSpaceDE/>
      <w:autoSpaceDN/>
      <w:adjustRightInd/>
      <w:snapToGrid w:val="0"/>
      <w:spacing w:afterLines="50"/>
      <w:ind w:firstLine="200" w:firstLineChars="200"/>
      <w:jc w:val="both"/>
    </w:pPr>
    <w:rPr>
      <w:rFonts w:ascii="Times New Roman"/>
      <w:sz w:val="24"/>
    </w:rPr>
  </w:style>
  <w:style w:type="paragraph" w:customStyle="1" w:styleId="84">
    <w:name w:val="潘"/>
    <w:basedOn w:val="1"/>
    <w:qFormat/>
    <w:uiPriority w:val="0"/>
    <w:pPr>
      <w:widowControl/>
      <w:autoSpaceDE/>
      <w:autoSpaceDN/>
      <w:adjustRightInd/>
      <w:snapToGrid w:val="0"/>
      <w:spacing w:line="240" w:lineRule="atLeast"/>
      <w:jc w:val="both"/>
    </w:pPr>
    <w:rPr>
      <w:rFonts w:ascii="Arial" w:hAnsi="Arial" w:cs="Arial"/>
      <w:b/>
      <w:bCs/>
      <w:sz w:val="21"/>
      <w:szCs w:val="21"/>
    </w:rPr>
  </w:style>
  <w:style w:type="paragraph" w:customStyle="1" w:styleId="85">
    <w:name w:val="正文 New New New New"/>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86">
    <w:name w:val="样式K"/>
    <w:basedOn w:val="21"/>
    <w:qFormat/>
    <w:uiPriority w:val="0"/>
    <w:pPr>
      <w:autoSpaceDE/>
      <w:autoSpaceDN/>
      <w:adjustRightInd/>
    </w:pPr>
    <w:rPr>
      <w:rFonts w:ascii="仿宋_GB2312" w:hAnsi="Book Antiqua" w:eastAsia="仿宋_GB2312"/>
      <w:kern w:val="2"/>
      <w:sz w:val="24"/>
      <w:szCs w:val="24"/>
    </w:rPr>
  </w:style>
  <w:style w:type="paragraph" w:customStyle="1" w:styleId="87">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88">
    <w:name w:val="默认段落字体 Para Char Char Char Char Char Char Char Char Char1 Char Char Char Char"/>
    <w:basedOn w:val="1"/>
    <w:qFormat/>
    <w:uiPriority w:val="0"/>
    <w:pPr>
      <w:autoSpaceDE/>
      <w:autoSpaceDN/>
      <w:adjustRightInd/>
      <w:jc w:val="both"/>
    </w:pPr>
    <w:rPr>
      <w:rFonts w:ascii="Tahoma" w:hAnsi="Tahoma"/>
      <w:kern w:val="2"/>
      <w:sz w:val="24"/>
    </w:rPr>
  </w:style>
  <w:style w:type="paragraph" w:customStyle="1" w:styleId="89">
    <w:name w:val="0-正文"/>
    <w:basedOn w:val="1"/>
    <w:qFormat/>
    <w:uiPriority w:val="0"/>
    <w:pPr>
      <w:autoSpaceDE/>
      <w:autoSpaceDN/>
      <w:adjustRightInd/>
      <w:spacing w:line="360" w:lineRule="auto"/>
      <w:ind w:firstLine="420" w:firstLineChars="200"/>
      <w:jc w:val="both"/>
    </w:pPr>
    <w:rPr>
      <w:rFonts w:ascii="汉仪仿宋简" w:hAnsi="仿宋"/>
      <w:sz w:val="24"/>
      <w:szCs w:val="28"/>
    </w:rPr>
  </w:style>
  <w:style w:type="paragraph" w:customStyle="1" w:styleId="90">
    <w:name w:val="F-正文"/>
    <w:qFormat/>
    <w:uiPriority w:val="0"/>
    <w:pPr>
      <w:spacing w:line="560" w:lineRule="exact"/>
      <w:jc w:val="both"/>
    </w:pPr>
    <w:rPr>
      <w:rFonts w:ascii="Times" w:hAnsi="Times" w:eastAsia="仿宋" w:cs="Times New Roman"/>
      <w:kern w:val="2"/>
      <w:sz w:val="24"/>
      <w:lang w:val="en-US" w:eastAsia="zh-CN" w:bidi="ar-SA"/>
    </w:rPr>
  </w:style>
  <w:style w:type="paragraph" w:customStyle="1" w:styleId="91">
    <w:name w:val="列出段落2"/>
    <w:basedOn w:val="1"/>
    <w:qFormat/>
    <w:uiPriority w:val="0"/>
    <w:pPr>
      <w:autoSpaceDE/>
      <w:autoSpaceDN/>
      <w:adjustRightInd/>
      <w:ind w:firstLine="420" w:firstLineChars="200"/>
      <w:jc w:val="both"/>
    </w:pPr>
    <w:rPr>
      <w:rFonts w:ascii="Calibri" w:hAnsi="Calibri" w:eastAsia="PMingLiU"/>
      <w:kern w:val="2"/>
      <w:sz w:val="21"/>
      <w:szCs w:val="22"/>
    </w:rPr>
  </w:style>
  <w:style w:type="paragraph" w:customStyle="1" w:styleId="92">
    <w:name w:val="ZW"/>
    <w:basedOn w:val="1"/>
    <w:qFormat/>
    <w:uiPriority w:val="0"/>
    <w:pPr>
      <w:spacing w:line="580" w:lineRule="exact"/>
      <w:ind w:firstLine="560"/>
    </w:pPr>
    <w:rPr>
      <w:rFonts w:ascii="仿宋_GB2312" w:hAnsi="仿宋_GB2312" w:eastAsia="仿宋_GB2312" w:cs="宋体"/>
      <w:sz w:val="28"/>
      <w:szCs w:val="36"/>
    </w:rPr>
  </w:style>
  <w:style w:type="paragraph" w:customStyle="1" w:styleId="93">
    <w:name w:val="表格内容"/>
    <w:basedOn w:val="1"/>
    <w:qFormat/>
    <w:uiPriority w:val="3"/>
    <w:pPr>
      <w:widowControl/>
      <w:jc w:val="center"/>
    </w:pPr>
    <w:rPr>
      <w:sz w:val="24"/>
      <w:szCs w:val="28"/>
    </w:rPr>
  </w:style>
  <w:style w:type="paragraph" w:styleId="94">
    <w:name w:val="List Paragraph"/>
    <w:basedOn w:val="1"/>
    <w:qFormat/>
    <w:uiPriority w:val="0"/>
    <w:pPr>
      <w:widowControl/>
      <w:autoSpaceDE/>
      <w:autoSpaceDN/>
      <w:adjustRightInd/>
      <w:ind w:firstLine="420" w:firstLineChars="200"/>
    </w:pPr>
    <w:rPr>
      <w:rFonts w:ascii="Times New Roman" w:hAnsi="宋体" w:cs="宋体"/>
      <w:color w:val="000000"/>
      <w:sz w:val="24"/>
      <w:szCs w:val="24"/>
    </w:rPr>
  </w:style>
  <w:style w:type="paragraph" w:customStyle="1" w:styleId="95">
    <w:name w:val="BodyTextIndent"/>
    <w:basedOn w:val="1"/>
    <w:next w:val="1"/>
    <w:qFormat/>
    <w:uiPriority w:val="0"/>
    <w:pPr>
      <w:ind w:firstLine="900"/>
      <w:jc w:val="both"/>
    </w:pPr>
    <w:rPr>
      <w:rFonts w:ascii="Times New Roman"/>
      <w:kern w:val="2"/>
      <w:sz w:val="28"/>
    </w:rPr>
  </w:style>
  <w:style w:type="paragraph" w:customStyle="1" w:styleId="96">
    <w:name w:val="Char"/>
    <w:basedOn w:val="1"/>
    <w:qFormat/>
    <w:uiPriority w:val="0"/>
    <w:pPr>
      <w:autoSpaceDE/>
      <w:autoSpaceDN/>
      <w:adjustRightInd/>
      <w:jc w:val="both"/>
    </w:pPr>
    <w:rPr>
      <w:rFonts w:ascii="Tahoma" w:hAnsi="Tahoma"/>
      <w:kern w:val="2"/>
      <w:sz w:val="24"/>
    </w:rPr>
  </w:style>
  <w:style w:type="paragraph" w:customStyle="1" w:styleId="97">
    <w:name w:val="BodyText1I2"/>
    <w:basedOn w:val="95"/>
    <w:next w:val="1"/>
    <w:qFormat/>
    <w:uiPriority w:val="0"/>
    <w:pPr>
      <w:spacing w:after="120"/>
      <w:ind w:left="420" w:leftChars="200" w:firstLine="420"/>
    </w:pPr>
    <w:rPr>
      <w:sz w:val="21"/>
      <w:szCs w:val="21"/>
    </w:rPr>
  </w:style>
  <w:style w:type="paragraph" w:customStyle="1" w:styleId="98">
    <w:name w:val="正文－恩普"/>
    <w:basedOn w:val="4"/>
    <w:qFormat/>
    <w:uiPriority w:val="0"/>
    <w:pPr>
      <w:widowControl/>
      <w:spacing w:line="360" w:lineRule="auto"/>
      <w:ind w:firstLine="480" w:firstLineChars="200"/>
      <w:jc w:val="left"/>
    </w:pPr>
    <w:rPr>
      <w:kern w:val="0"/>
      <w:sz w:val="24"/>
    </w:rPr>
  </w:style>
  <w:style w:type="paragraph" w:customStyle="1" w:styleId="99">
    <w:name w:val="默认段落字体 Para Char Char Char Char Char Char Char"/>
    <w:basedOn w:val="1"/>
    <w:qFormat/>
    <w:uiPriority w:val="0"/>
    <w:pPr>
      <w:autoSpaceDE/>
      <w:autoSpaceDN/>
      <w:adjustRightInd/>
      <w:jc w:val="both"/>
    </w:pPr>
    <w:rPr>
      <w:rFonts w:ascii="Tahoma" w:hAnsi="Tahoma"/>
      <w:kern w:val="2"/>
      <w:sz w:val="24"/>
    </w:rPr>
  </w:style>
  <w:style w:type="paragraph" w:customStyle="1" w:styleId="100">
    <w:name w:val="样式2"/>
    <w:basedOn w:val="1"/>
    <w:next w:val="1"/>
    <w:qFormat/>
    <w:uiPriority w:val="0"/>
    <w:pPr>
      <w:autoSpaceDE/>
      <w:autoSpaceDN/>
      <w:adjustRightInd/>
      <w:ind w:firstLine="420" w:firstLineChars="200"/>
      <w:jc w:val="both"/>
    </w:pPr>
    <w:rPr>
      <w:rFonts w:ascii="Calibri" w:hAnsi="Calibri"/>
      <w:kern w:val="2"/>
      <w:sz w:val="21"/>
      <w:szCs w:val="22"/>
    </w:rPr>
  </w:style>
  <w:style w:type="paragraph" w:customStyle="1" w:styleId="101">
    <w:name w:val="Char Char Char Char Char Char Char Char Char Char"/>
    <w:basedOn w:val="1"/>
    <w:qFormat/>
    <w:uiPriority w:val="0"/>
    <w:pPr>
      <w:autoSpaceDE/>
      <w:autoSpaceDN/>
      <w:adjustRightInd/>
      <w:jc w:val="both"/>
    </w:pPr>
    <w:rPr>
      <w:rFonts w:ascii="Tahoma" w:hAnsi="Tahoma"/>
      <w:kern w:val="2"/>
      <w:sz w:val="24"/>
    </w:rPr>
  </w:style>
  <w:style w:type="paragraph" w:customStyle="1" w:styleId="10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3">
    <w:name w:val="Char2"/>
    <w:basedOn w:val="18"/>
    <w:next w:val="1"/>
    <w:qFormat/>
    <w:uiPriority w:val="0"/>
    <w:pPr>
      <w:autoSpaceDE/>
      <w:autoSpaceDN/>
      <w:adjustRightInd/>
      <w:jc w:val="both"/>
    </w:pPr>
    <w:rPr>
      <w:kern w:val="2"/>
      <w:sz w:val="21"/>
    </w:rPr>
  </w:style>
  <w:style w:type="paragraph" w:customStyle="1" w:styleId="104">
    <w:name w:val="Char Char Char Char"/>
    <w:basedOn w:val="1"/>
    <w:qFormat/>
    <w:uiPriority w:val="0"/>
    <w:pPr>
      <w:autoSpaceDE/>
      <w:autoSpaceDN/>
      <w:adjustRightInd/>
      <w:jc w:val="both"/>
    </w:pPr>
    <w:rPr>
      <w:rFonts w:ascii="Times New Roman"/>
    </w:rPr>
  </w:style>
  <w:style w:type="paragraph" w:customStyle="1" w:styleId="105">
    <w:name w:val="正文1"/>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06">
    <w:name w:val="表内文字"/>
    <w:basedOn w:val="1"/>
    <w:qFormat/>
    <w:uiPriority w:val="0"/>
    <w:pPr>
      <w:tabs>
        <w:tab w:val="left" w:pos="1418"/>
      </w:tabs>
      <w:autoSpaceDE/>
      <w:autoSpaceDN/>
      <w:adjustRightInd/>
      <w:spacing w:line="360" w:lineRule="auto"/>
      <w:jc w:val="center"/>
    </w:pPr>
    <w:rPr>
      <w:rFonts w:ascii="仿宋_GB2312" w:eastAsia="仿宋_GB2312"/>
      <w:spacing w:val="-20"/>
      <w:sz w:val="24"/>
      <w:szCs w:val="24"/>
    </w:rPr>
  </w:style>
  <w:style w:type="character" w:customStyle="1" w:styleId="107">
    <w:name w:val="纯文本 Char1"/>
    <w:link w:val="27"/>
    <w:qFormat/>
    <w:locked/>
    <w:uiPriority w:val="0"/>
    <w:rPr>
      <w:rFonts w:hAnsi="Courier New" w:cs="Courier New"/>
      <w:sz w:val="34"/>
      <w:szCs w:val="21"/>
    </w:rPr>
  </w:style>
  <w:style w:type="paragraph" w:customStyle="1" w:styleId="108">
    <w:name w:val="reader-word-layer"/>
    <w:basedOn w:val="1"/>
    <w:qFormat/>
    <w:uiPriority w:val="0"/>
    <w:pPr>
      <w:widowControl/>
      <w:spacing w:before="100" w:beforeAutospacing="1" w:after="100" w:afterAutospacing="1"/>
    </w:pPr>
    <w:rPr>
      <w:rFonts w:ascii="Times New Roman" w:hAnsi="宋体" w:cs="宋体"/>
      <w:sz w:val="24"/>
      <w:szCs w:val="24"/>
    </w:rPr>
  </w:style>
  <w:style w:type="paragraph" w:customStyle="1" w:styleId="109">
    <w:name w:val="纯文本1"/>
    <w:basedOn w:val="110"/>
    <w:qFormat/>
    <w:uiPriority w:val="0"/>
    <w:rPr>
      <w:rFonts w:hint="default" w:ascii="宋体" w:hAnsi="Courier New"/>
      <w:kern w:val="0"/>
      <w:sz w:val="20"/>
      <w:szCs w:val="21"/>
    </w:rPr>
  </w:style>
  <w:style w:type="paragraph" w:customStyle="1" w:styleId="110">
    <w:name w:val="正文2"/>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11">
    <w:name w:val="[Normal]"/>
    <w:qFormat/>
    <w:uiPriority w:val="0"/>
    <w:pPr>
      <w:widowControl w:val="0"/>
      <w:autoSpaceDE w:val="0"/>
      <w:autoSpaceDN w:val="0"/>
      <w:adjustRightInd w:val="0"/>
    </w:pPr>
    <w:rPr>
      <w:rFonts w:ascii="宋体" w:hAnsi="Calibri" w:eastAsia="宋体" w:cs="宋体"/>
      <w:sz w:val="24"/>
      <w:szCs w:val="24"/>
      <w:lang w:val="en-US" w:eastAsia="zh-CN" w:bidi="ar-SA"/>
    </w:rPr>
  </w:style>
  <w:style w:type="paragraph" w:customStyle="1" w:styleId="112">
    <w:name w:val="Body text|1"/>
    <w:basedOn w:val="1"/>
    <w:qFormat/>
    <w:uiPriority w:val="0"/>
    <w:pPr>
      <w:spacing w:line="389" w:lineRule="auto"/>
      <w:ind w:firstLine="400"/>
    </w:pPr>
    <w:rPr>
      <w:rFonts w:hAnsi="宋体" w:cs="宋体"/>
      <w:sz w:val="30"/>
      <w:szCs w:val="3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82</Pages>
  <Words>51195</Words>
  <Characters>55108</Characters>
  <Lines>441</Lines>
  <Paragraphs>124</Paragraphs>
  <TotalTime>7</TotalTime>
  <ScaleCrop>false</ScaleCrop>
  <LinksUpToDate>false</LinksUpToDate>
  <CharactersWithSpaces>56347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2022-09-22T08:02:00Z</dcterms:created>
  <dc:creator>dell</dc:creator>
  <cp:lastModifiedBy>WPS_443220290</cp:lastModifiedBy>
  <cp:lastPrinted>2022-11-17T03:15:19Z</cp:lastPrinted>
  <dcterms:modified xsi:type="dcterms:W3CDTF">2022-11-17T03:17:13Z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AF1263A8AC8841BDA2DE9921E4CA2A1E</vt:lpwstr>
  </property>
</Properties>
</file>