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ascii="宋体"/>
          <w:sz w:val="24"/>
          <w:szCs w:val="24"/>
        </w:rPr>
      </w:pPr>
    </w:p>
    <w:p>
      <w:pPr>
        <w:spacing w:line="500" w:lineRule="exact"/>
        <w:jc w:val="center"/>
        <w:rPr>
          <w:rFonts w:ascii="宋体"/>
          <w:b/>
          <w:sz w:val="24"/>
          <w:szCs w:val="24"/>
        </w:rPr>
      </w:pPr>
    </w:p>
    <w:p>
      <w:pPr>
        <w:spacing w:line="500" w:lineRule="exact"/>
        <w:jc w:val="center"/>
        <w:rPr>
          <w:rFonts w:ascii="宋体"/>
          <w:b/>
          <w:sz w:val="24"/>
          <w:szCs w:val="24"/>
        </w:rPr>
      </w:pPr>
    </w:p>
    <w:p>
      <w:pPr>
        <w:spacing w:line="720" w:lineRule="auto"/>
        <w:jc w:val="center"/>
        <w:rPr>
          <w:rFonts w:ascii="宋体"/>
          <w:b/>
          <w:sz w:val="96"/>
          <w:szCs w:val="96"/>
        </w:rPr>
      </w:pPr>
      <w:r>
        <w:rPr>
          <w:rFonts w:hint="eastAsia" w:ascii="宋体" w:hAnsi="宋体"/>
          <w:b/>
          <w:sz w:val="96"/>
          <w:szCs w:val="96"/>
        </w:rPr>
        <w:t>招标文件</w:t>
      </w:r>
    </w:p>
    <w:p>
      <w:pPr>
        <w:spacing w:line="500" w:lineRule="exact"/>
        <w:rPr>
          <w:rFonts w:ascii="宋体"/>
          <w:b/>
          <w:sz w:val="24"/>
          <w:szCs w:val="24"/>
        </w:rPr>
      </w:pPr>
    </w:p>
    <w:p>
      <w:pPr>
        <w:spacing w:line="500" w:lineRule="exact"/>
        <w:jc w:val="center"/>
        <w:rPr>
          <w:rFonts w:ascii="宋体"/>
          <w:b/>
          <w:sz w:val="24"/>
          <w:szCs w:val="24"/>
        </w:rPr>
      </w:pPr>
    </w:p>
    <w:p>
      <w:pPr>
        <w:spacing w:line="500" w:lineRule="exact"/>
        <w:jc w:val="center"/>
        <w:rPr>
          <w:rFonts w:ascii="宋体"/>
          <w:b/>
          <w:sz w:val="24"/>
          <w:szCs w:val="24"/>
        </w:rPr>
      </w:pPr>
    </w:p>
    <w:p>
      <w:pPr>
        <w:spacing w:line="500" w:lineRule="exact"/>
        <w:jc w:val="center"/>
        <w:rPr>
          <w:rFonts w:ascii="宋体"/>
          <w:b/>
          <w:sz w:val="24"/>
          <w:szCs w:val="24"/>
        </w:rPr>
      </w:pPr>
    </w:p>
    <w:p>
      <w:pPr>
        <w:spacing w:line="500" w:lineRule="exact"/>
        <w:jc w:val="center"/>
        <w:rPr>
          <w:rFonts w:hint="eastAsia" w:ascii="宋体" w:hAnsi="宋体" w:eastAsia="宋体"/>
          <w:b/>
          <w:sz w:val="36"/>
          <w:szCs w:val="36"/>
          <w:u w:val="single"/>
          <w:lang w:eastAsia="zh-CN"/>
        </w:rPr>
      </w:pPr>
      <w:r>
        <w:rPr>
          <w:rFonts w:hint="eastAsia" w:ascii="宋体" w:hAnsi="宋体"/>
          <w:b/>
          <w:sz w:val="36"/>
          <w:szCs w:val="36"/>
        </w:rPr>
        <w:t>项目编号：</w:t>
      </w:r>
      <w:r>
        <w:rPr>
          <w:rFonts w:ascii="宋体" w:hAnsi="宋体"/>
          <w:b/>
          <w:color w:val="auto"/>
          <w:sz w:val="36"/>
          <w:szCs w:val="36"/>
        </w:rPr>
        <w:t>YDZC  20</w:t>
      </w:r>
      <w:r>
        <w:rPr>
          <w:rFonts w:hint="eastAsia" w:ascii="宋体" w:hAnsi="宋体"/>
          <w:b/>
          <w:color w:val="auto"/>
          <w:sz w:val="36"/>
          <w:szCs w:val="36"/>
        </w:rPr>
        <w:t>21</w:t>
      </w:r>
      <w:r>
        <w:rPr>
          <w:rFonts w:ascii="宋体" w:hAnsi="宋体"/>
          <w:b/>
          <w:color w:val="auto"/>
          <w:sz w:val="36"/>
          <w:szCs w:val="36"/>
        </w:rPr>
        <w:t>-</w:t>
      </w:r>
      <w:r>
        <w:rPr>
          <w:rFonts w:hint="eastAsia" w:ascii="宋体" w:hAnsi="宋体"/>
          <w:b/>
          <w:color w:val="auto"/>
          <w:sz w:val="36"/>
          <w:szCs w:val="36"/>
        </w:rPr>
        <w:t>FS</w:t>
      </w:r>
      <w:r>
        <w:rPr>
          <w:rFonts w:hint="eastAsia" w:ascii="宋体" w:hAnsi="宋体"/>
          <w:b/>
          <w:color w:val="auto"/>
          <w:sz w:val="36"/>
          <w:szCs w:val="36"/>
          <w:lang w:val="en-US" w:eastAsia="zh-CN"/>
        </w:rPr>
        <w:t>172</w:t>
      </w:r>
      <w:r>
        <w:rPr>
          <w:rFonts w:hint="eastAsia" w:ascii="宋体" w:hAnsi="宋体"/>
          <w:b/>
          <w:color w:val="0000FF"/>
          <w:sz w:val="36"/>
          <w:szCs w:val="36"/>
          <w:lang w:val="en-US" w:eastAsia="zh-CN"/>
        </w:rPr>
        <w:t xml:space="preserve"> </w:t>
      </w:r>
    </w:p>
    <w:p>
      <w:pPr>
        <w:spacing w:line="500" w:lineRule="exact"/>
        <w:jc w:val="center"/>
        <w:rPr>
          <w:rFonts w:ascii="宋体"/>
          <w:b/>
          <w:sz w:val="36"/>
          <w:szCs w:val="36"/>
        </w:rPr>
      </w:pPr>
    </w:p>
    <w:p>
      <w:pPr>
        <w:spacing w:line="500" w:lineRule="exact"/>
        <w:jc w:val="center"/>
        <w:rPr>
          <w:rFonts w:ascii="宋体"/>
          <w:b/>
          <w:sz w:val="36"/>
          <w:szCs w:val="36"/>
        </w:rPr>
      </w:pPr>
    </w:p>
    <w:p>
      <w:pPr>
        <w:spacing w:line="500" w:lineRule="exact"/>
        <w:jc w:val="center"/>
        <w:rPr>
          <w:rFonts w:ascii="宋体" w:hAnsi="宋体" w:cs="宋体"/>
          <w:b/>
          <w:sz w:val="40"/>
          <w:szCs w:val="40"/>
        </w:rPr>
      </w:pPr>
      <w:r>
        <w:rPr>
          <w:rFonts w:hint="eastAsia" w:ascii="宋体" w:hAnsi="宋体"/>
          <w:b/>
          <w:sz w:val="40"/>
          <w:szCs w:val="40"/>
        </w:rPr>
        <w:t>项</w:t>
      </w:r>
      <w:r>
        <w:rPr>
          <w:rFonts w:hint="eastAsia" w:ascii="宋体" w:hAnsi="宋体" w:cs="宋体"/>
          <w:b/>
          <w:sz w:val="40"/>
          <w:szCs w:val="40"/>
        </w:rPr>
        <w:t>目名称：盐城区地下水污染防治规划方案项目</w:t>
      </w:r>
    </w:p>
    <w:p>
      <w:pPr>
        <w:spacing w:line="500" w:lineRule="exact"/>
        <w:rPr>
          <w:rFonts w:ascii="宋体"/>
          <w:b/>
          <w:sz w:val="24"/>
          <w:szCs w:val="24"/>
        </w:rPr>
      </w:pPr>
    </w:p>
    <w:p>
      <w:pPr>
        <w:spacing w:line="500" w:lineRule="exact"/>
        <w:rPr>
          <w:rFonts w:ascii="宋体"/>
          <w:b/>
          <w:sz w:val="24"/>
          <w:szCs w:val="24"/>
        </w:rPr>
      </w:pPr>
    </w:p>
    <w:p>
      <w:pPr>
        <w:spacing w:line="500" w:lineRule="exact"/>
        <w:rPr>
          <w:rFonts w:ascii="宋体"/>
          <w:b/>
          <w:sz w:val="24"/>
          <w:szCs w:val="24"/>
        </w:rPr>
      </w:pPr>
    </w:p>
    <w:p>
      <w:pPr>
        <w:spacing w:line="500" w:lineRule="exact"/>
        <w:rPr>
          <w:rFonts w:ascii="宋体"/>
          <w:b/>
          <w:sz w:val="24"/>
          <w:szCs w:val="24"/>
        </w:rPr>
      </w:pPr>
    </w:p>
    <w:p>
      <w:pPr>
        <w:spacing w:line="500" w:lineRule="exact"/>
        <w:jc w:val="center"/>
        <w:rPr>
          <w:rFonts w:ascii="宋体" w:cs="黑体"/>
          <w:bCs/>
          <w:spacing w:val="15"/>
          <w:sz w:val="32"/>
          <w:szCs w:val="32"/>
        </w:rPr>
      </w:pPr>
    </w:p>
    <w:p>
      <w:pPr>
        <w:spacing w:line="500" w:lineRule="exact"/>
        <w:jc w:val="center"/>
        <w:rPr>
          <w:rFonts w:ascii="宋体" w:cs="黑体"/>
          <w:bCs/>
          <w:spacing w:val="15"/>
          <w:sz w:val="32"/>
          <w:szCs w:val="32"/>
        </w:rPr>
      </w:pPr>
    </w:p>
    <w:p>
      <w:pPr>
        <w:pStyle w:val="49"/>
      </w:pPr>
    </w:p>
    <w:p>
      <w:pPr>
        <w:spacing w:line="500" w:lineRule="exact"/>
        <w:jc w:val="center"/>
        <w:rPr>
          <w:rFonts w:ascii="宋体" w:cs="黑体"/>
          <w:bCs/>
          <w:spacing w:val="15"/>
          <w:sz w:val="32"/>
          <w:szCs w:val="32"/>
        </w:rPr>
      </w:pPr>
    </w:p>
    <w:p>
      <w:pPr>
        <w:spacing w:line="500" w:lineRule="exact"/>
        <w:jc w:val="center"/>
        <w:rPr>
          <w:rFonts w:ascii="宋体" w:hAnsi="宋体" w:cs="黑体"/>
          <w:bCs/>
          <w:spacing w:val="15"/>
          <w:sz w:val="32"/>
          <w:szCs w:val="32"/>
        </w:rPr>
      </w:pPr>
    </w:p>
    <w:p>
      <w:pPr>
        <w:spacing w:line="500" w:lineRule="exact"/>
        <w:jc w:val="center"/>
        <w:rPr>
          <w:rFonts w:hint="eastAsia" w:eastAsia="宋体"/>
          <w:b/>
          <w:sz w:val="31"/>
          <w:u w:val="none"/>
          <w:lang w:eastAsia="zh-CN"/>
        </w:rPr>
      </w:pPr>
      <w:r>
        <w:rPr>
          <w:rFonts w:hint="eastAsia"/>
          <w:b/>
          <w:sz w:val="31"/>
          <w:u w:val="none"/>
          <w:lang w:eastAsia="zh-CN"/>
        </w:rPr>
        <w:t>盐城市盐都生态环境局</w:t>
      </w:r>
    </w:p>
    <w:p>
      <w:pPr>
        <w:spacing w:line="500" w:lineRule="exact"/>
        <w:jc w:val="center"/>
        <w:rPr>
          <w:rFonts w:ascii="宋体" w:hAnsi="宋体"/>
          <w:sz w:val="32"/>
          <w:szCs w:val="32"/>
        </w:rPr>
      </w:pPr>
      <w:r>
        <w:rPr>
          <w:rFonts w:hint="eastAsia"/>
          <w:b/>
          <w:sz w:val="31"/>
          <w:u w:val="none"/>
          <w:lang w:val="en-US" w:eastAsia="zh-CN"/>
        </w:rPr>
        <w:t xml:space="preserve"> </w:t>
      </w:r>
      <w:r>
        <w:rPr>
          <w:rFonts w:hint="eastAsia" w:ascii="宋体" w:hAnsi="宋体"/>
          <w:sz w:val="32"/>
          <w:szCs w:val="32"/>
        </w:rPr>
        <w:t>2021年11月</w:t>
      </w:r>
    </w:p>
    <w:p>
      <w:pPr>
        <w:spacing w:line="500" w:lineRule="exact"/>
        <w:jc w:val="center"/>
        <w:rPr>
          <w:rFonts w:ascii="宋体"/>
          <w:sz w:val="32"/>
          <w:szCs w:val="32"/>
        </w:rPr>
      </w:pPr>
    </w:p>
    <w:p>
      <w:pPr>
        <w:spacing w:line="500" w:lineRule="exact"/>
        <w:jc w:val="center"/>
        <w:outlineLvl w:val="0"/>
        <w:rPr>
          <w:rFonts w:ascii="宋体" w:hAnsi="宋体"/>
          <w:b/>
          <w:sz w:val="52"/>
          <w:szCs w:val="52"/>
        </w:rPr>
        <w:sectPr>
          <w:footerReference r:id="rId6" w:type="first"/>
          <w:headerReference r:id="rId3" w:type="default"/>
          <w:footerReference r:id="rId4" w:type="default"/>
          <w:footerReference r:id="rId5" w:type="even"/>
          <w:pgSz w:w="11906" w:h="16838"/>
          <w:pgMar w:top="1440" w:right="1080" w:bottom="1440" w:left="1080" w:header="851" w:footer="992" w:gutter="0"/>
          <w:pgNumType w:fmt="decimal" w:start="0"/>
          <w:cols w:space="425" w:num="1"/>
          <w:docGrid w:type="lines" w:linePitch="312" w:charSpace="0"/>
        </w:sectPr>
      </w:pPr>
      <w:bookmarkStart w:id="0" w:name="_Toc120614210"/>
      <w:bookmarkStart w:id="1" w:name="_Toc523127445"/>
      <w:bookmarkStart w:id="2" w:name="_Toc20823272"/>
      <w:bookmarkStart w:id="3" w:name="_Toc16938516"/>
      <w:bookmarkStart w:id="4" w:name="_Toc513029200"/>
      <w:bookmarkStart w:id="5" w:name="_Toc479757206"/>
    </w:p>
    <w:p>
      <w:pPr>
        <w:spacing w:line="500" w:lineRule="exact"/>
        <w:jc w:val="center"/>
        <w:outlineLvl w:val="0"/>
        <w:rPr>
          <w:rFonts w:ascii="宋体"/>
          <w:sz w:val="24"/>
          <w:szCs w:val="24"/>
        </w:rPr>
      </w:pPr>
      <w:r>
        <w:rPr>
          <w:rFonts w:hint="eastAsia" w:ascii="宋体" w:hAnsi="宋体"/>
          <w:b/>
          <w:sz w:val="52"/>
          <w:szCs w:val="52"/>
        </w:rPr>
        <w:t>总目录</w:t>
      </w:r>
    </w:p>
    <w:p>
      <w:pPr>
        <w:spacing w:line="500" w:lineRule="exact"/>
        <w:rPr>
          <w:rFonts w:ascii="宋体"/>
          <w:b/>
          <w:sz w:val="24"/>
          <w:szCs w:val="24"/>
        </w:rPr>
      </w:pPr>
    </w:p>
    <w:p>
      <w:pPr>
        <w:numPr>
          <w:ilvl w:val="0"/>
          <w:numId w:val="2"/>
        </w:numPr>
        <w:spacing w:line="1000" w:lineRule="exact"/>
        <w:outlineLvl w:val="0"/>
        <w:rPr>
          <w:rFonts w:ascii="宋体"/>
          <w:sz w:val="32"/>
          <w:szCs w:val="32"/>
        </w:rPr>
      </w:pPr>
      <w:r>
        <w:rPr>
          <w:rFonts w:hint="eastAsia" w:ascii="宋体" w:hAnsi="宋体"/>
          <w:sz w:val="32"/>
          <w:szCs w:val="32"/>
        </w:rPr>
        <w:t>招标公告……………………………………2</w:t>
      </w:r>
    </w:p>
    <w:p>
      <w:pPr>
        <w:numPr>
          <w:ilvl w:val="0"/>
          <w:numId w:val="2"/>
        </w:numPr>
        <w:spacing w:line="1000" w:lineRule="exact"/>
        <w:outlineLvl w:val="0"/>
        <w:rPr>
          <w:rFonts w:ascii="宋体"/>
          <w:sz w:val="32"/>
          <w:szCs w:val="32"/>
        </w:rPr>
      </w:pPr>
      <w:r>
        <w:rPr>
          <w:rFonts w:hint="eastAsia" w:ascii="宋体" w:hAnsi="宋体"/>
          <w:bCs/>
          <w:sz w:val="32"/>
          <w:szCs w:val="32"/>
        </w:rPr>
        <w:t>投标人须知</w:t>
      </w:r>
      <w:r>
        <w:rPr>
          <w:rFonts w:hint="eastAsia" w:ascii="宋体" w:hAnsi="宋体"/>
          <w:sz w:val="32"/>
          <w:szCs w:val="32"/>
        </w:rPr>
        <w:t>…………………………………4</w:t>
      </w:r>
    </w:p>
    <w:p>
      <w:pPr>
        <w:numPr>
          <w:ilvl w:val="0"/>
          <w:numId w:val="2"/>
        </w:numPr>
        <w:spacing w:line="1000" w:lineRule="exact"/>
        <w:outlineLvl w:val="0"/>
        <w:rPr>
          <w:rFonts w:ascii="宋体"/>
          <w:sz w:val="32"/>
          <w:szCs w:val="32"/>
        </w:rPr>
      </w:pPr>
      <w:r>
        <w:rPr>
          <w:rFonts w:hint="eastAsia" w:ascii="宋体" w:hAnsi="宋体"/>
          <w:sz w:val="32"/>
          <w:szCs w:val="32"/>
        </w:rPr>
        <w:t>合同条款及格式……………………………1</w:t>
      </w:r>
      <w:r>
        <w:rPr>
          <w:rFonts w:hint="eastAsia" w:ascii="宋体" w:hAnsi="宋体"/>
          <w:sz w:val="32"/>
          <w:szCs w:val="32"/>
          <w:lang w:val="en-US" w:eastAsia="zh-CN"/>
        </w:rPr>
        <w:t>7</w:t>
      </w:r>
    </w:p>
    <w:p>
      <w:pPr>
        <w:numPr>
          <w:ilvl w:val="0"/>
          <w:numId w:val="2"/>
        </w:numPr>
        <w:spacing w:line="1000" w:lineRule="exact"/>
        <w:outlineLvl w:val="0"/>
        <w:rPr>
          <w:rFonts w:ascii="宋体"/>
          <w:sz w:val="32"/>
          <w:szCs w:val="32"/>
        </w:rPr>
      </w:pPr>
      <w:r>
        <w:rPr>
          <w:rFonts w:hint="eastAsia" w:ascii="宋体" w:hAnsi="宋体"/>
          <w:sz w:val="32"/>
          <w:szCs w:val="32"/>
        </w:rPr>
        <w:t>采购需求……………………………………2</w:t>
      </w:r>
      <w:r>
        <w:rPr>
          <w:rFonts w:hint="eastAsia" w:ascii="宋体" w:hAnsi="宋体"/>
          <w:sz w:val="32"/>
          <w:szCs w:val="32"/>
          <w:lang w:val="en-US" w:eastAsia="zh-CN"/>
        </w:rPr>
        <w:t>1</w:t>
      </w:r>
    </w:p>
    <w:p>
      <w:pPr>
        <w:numPr>
          <w:ilvl w:val="0"/>
          <w:numId w:val="2"/>
        </w:numPr>
        <w:spacing w:line="1000" w:lineRule="exact"/>
        <w:outlineLvl w:val="0"/>
        <w:rPr>
          <w:rFonts w:ascii="宋体"/>
          <w:sz w:val="32"/>
          <w:szCs w:val="32"/>
        </w:rPr>
      </w:pPr>
      <w:r>
        <w:rPr>
          <w:rFonts w:hint="eastAsia" w:ascii="宋体" w:hAnsi="宋体"/>
          <w:bCs/>
          <w:sz w:val="32"/>
          <w:szCs w:val="32"/>
        </w:rPr>
        <w:t>评标方法与评标标准</w:t>
      </w:r>
      <w:r>
        <w:rPr>
          <w:rFonts w:hint="eastAsia" w:ascii="宋体" w:hAnsi="宋体"/>
          <w:sz w:val="32"/>
          <w:szCs w:val="32"/>
        </w:rPr>
        <w:t>………………………</w:t>
      </w:r>
      <w:r>
        <w:rPr>
          <w:rFonts w:hint="eastAsia" w:ascii="宋体" w:hAnsi="宋体"/>
          <w:sz w:val="32"/>
          <w:szCs w:val="32"/>
          <w:lang w:val="en-US" w:eastAsia="zh-CN"/>
        </w:rPr>
        <w:t>22</w:t>
      </w:r>
    </w:p>
    <w:p>
      <w:pPr>
        <w:numPr>
          <w:ilvl w:val="0"/>
          <w:numId w:val="2"/>
        </w:numPr>
        <w:spacing w:line="1000" w:lineRule="exact"/>
        <w:outlineLvl w:val="0"/>
        <w:rPr>
          <w:rFonts w:ascii="宋体"/>
          <w:sz w:val="32"/>
          <w:szCs w:val="32"/>
        </w:rPr>
      </w:pPr>
      <w:r>
        <w:rPr>
          <w:rFonts w:hint="eastAsia" w:ascii="宋体" w:hAnsi="宋体"/>
          <w:sz w:val="32"/>
          <w:szCs w:val="32"/>
        </w:rPr>
        <w:t>投标文件格式………………………………</w:t>
      </w:r>
      <w:r>
        <w:rPr>
          <w:rFonts w:hint="eastAsia" w:ascii="宋体" w:hAnsi="宋体"/>
          <w:sz w:val="32"/>
          <w:szCs w:val="32"/>
          <w:lang w:val="en-US" w:eastAsia="zh-CN"/>
        </w:rPr>
        <w:t>26</w:t>
      </w:r>
    </w:p>
    <w:p>
      <w:pPr>
        <w:pStyle w:val="6"/>
        <w:spacing w:line="500" w:lineRule="exact"/>
        <w:rPr>
          <w:rFonts w:ascii="宋体" w:hAnsi="宋体" w:eastAsia="宋体"/>
          <w:bCs/>
          <w:sz w:val="24"/>
          <w:szCs w:val="24"/>
        </w:rPr>
      </w:pPr>
    </w:p>
    <w:p>
      <w:pPr>
        <w:pStyle w:val="6"/>
        <w:spacing w:line="500" w:lineRule="exact"/>
        <w:rPr>
          <w:rFonts w:ascii="宋体" w:hAnsi="宋体" w:eastAsia="宋体"/>
          <w:bCs/>
          <w:sz w:val="24"/>
          <w:szCs w:val="24"/>
        </w:rPr>
      </w:pPr>
    </w:p>
    <w:p>
      <w:pPr>
        <w:widowControl/>
        <w:jc w:val="center"/>
        <w:rPr>
          <w:rFonts w:ascii="宋体" w:hAnsi="宋体"/>
          <w:b/>
          <w:sz w:val="44"/>
          <w:szCs w:val="44"/>
        </w:rPr>
      </w:pPr>
      <w:r>
        <w:rPr>
          <w:rFonts w:ascii="宋体"/>
          <w:sz w:val="24"/>
          <w:szCs w:val="24"/>
        </w:rPr>
        <w:br w:type="page"/>
      </w:r>
      <w:r>
        <w:rPr>
          <w:rFonts w:hint="eastAsia" w:ascii="宋体" w:hAnsi="宋体"/>
          <w:b/>
          <w:sz w:val="44"/>
          <w:szCs w:val="44"/>
        </w:rPr>
        <w:t>第一章</w:t>
      </w:r>
      <w:bookmarkEnd w:id="0"/>
      <w:r>
        <w:rPr>
          <w:rFonts w:hint="eastAsia" w:ascii="宋体" w:hAnsi="宋体"/>
          <w:b/>
          <w:sz w:val="44"/>
          <w:szCs w:val="44"/>
        </w:rPr>
        <w:t xml:space="preserve">  招标公告</w:t>
      </w:r>
    </w:p>
    <w:p>
      <w:pPr>
        <w:pBdr>
          <w:top w:val="single" w:color="auto" w:sz="4" w:space="1"/>
          <w:left w:val="single" w:color="auto" w:sz="4" w:space="4"/>
          <w:bottom w:val="single" w:color="auto" w:sz="4" w:space="1"/>
          <w:right w:val="single" w:color="auto" w:sz="4" w:space="4"/>
        </w:pBdr>
        <w:spacing w:line="500" w:lineRule="exact"/>
        <w:ind w:firstLine="480" w:firstLineChars="20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项目概况</w:t>
      </w:r>
    </w:p>
    <w:p>
      <w:pPr>
        <w:pBdr>
          <w:top w:val="single" w:color="auto" w:sz="4" w:space="1"/>
          <w:left w:val="single" w:color="auto" w:sz="4" w:space="4"/>
          <w:bottom w:val="single" w:color="auto" w:sz="4" w:space="1"/>
          <w:right w:val="single" w:color="auto" w:sz="4" w:space="4"/>
        </w:pBdr>
        <w:spacing w:line="500" w:lineRule="exact"/>
        <w:ind w:firstLine="480" w:firstLineChars="200"/>
        <w:rPr>
          <w:rFonts w:asciiTheme="minorEastAsia" w:hAnsiTheme="minorEastAsia" w:eastAsiaTheme="minorEastAsia"/>
          <w:sz w:val="24"/>
          <w:szCs w:val="24"/>
        </w:rPr>
      </w:pPr>
      <w:r>
        <w:rPr>
          <w:rFonts w:hint="eastAsia" w:asciiTheme="minorEastAsia" w:hAnsiTheme="minorEastAsia" w:eastAsiaTheme="minorEastAsia"/>
          <w:b w:val="0"/>
          <w:bCs w:val="0"/>
          <w:sz w:val="24"/>
          <w:szCs w:val="24"/>
          <w:u w:val="single"/>
        </w:rPr>
        <w:t>盐城区地下水污染防治规划方案项目</w:t>
      </w:r>
      <w:r>
        <w:rPr>
          <w:rFonts w:hint="eastAsia" w:asciiTheme="minorEastAsia" w:hAnsiTheme="minorEastAsia" w:eastAsiaTheme="minorEastAsia"/>
          <w:sz w:val="24"/>
          <w:szCs w:val="24"/>
        </w:rPr>
        <w:t>招标项目的潜在投标人应在“盐城市政府采购网</w:t>
      </w:r>
      <w:r>
        <w:rPr>
          <w:rFonts w:hint="eastAsia" w:asciiTheme="minorEastAsia" w:hAnsiTheme="minorEastAsia" w:eastAsiaTheme="minorEastAsia"/>
          <w:sz w:val="24"/>
          <w:szCs w:val="24"/>
          <w:lang w:val="zh-TW"/>
        </w:rPr>
        <w:t>http://czj.yancheng.gov.cn/col/col2383/index.html” “</w:t>
      </w:r>
      <w:r>
        <w:rPr>
          <w:rFonts w:hint="eastAsia" w:asciiTheme="minorEastAsia" w:hAnsiTheme="minorEastAsia" w:eastAsiaTheme="minorEastAsia"/>
          <w:sz w:val="24"/>
          <w:szCs w:val="24"/>
        </w:rPr>
        <w:t>盐城市盐都区人民政府网</w:t>
      </w:r>
      <w:r>
        <w:fldChar w:fldCharType="begin"/>
      </w:r>
      <w:r>
        <w:instrText xml:space="preserve"> HYPERLINK "http://www.yandu.gov.cn/index.html" </w:instrText>
      </w:r>
      <w:r>
        <w:fldChar w:fldCharType="separate"/>
      </w:r>
      <w:r>
        <w:rPr>
          <w:rStyle w:val="47"/>
          <w:rFonts w:hint="eastAsia" w:asciiTheme="minorEastAsia" w:hAnsiTheme="minorEastAsia" w:eastAsiaTheme="minorEastAsia"/>
          <w:color w:val="auto"/>
          <w:sz w:val="24"/>
          <w:szCs w:val="24"/>
          <w:lang w:val="zh-TW"/>
        </w:rPr>
        <w:t>http://www.yandu.gov.cn/index.html”</w:t>
      </w:r>
      <w:r>
        <w:rPr>
          <w:rStyle w:val="47"/>
          <w:rFonts w:hint="eastAsia" w:asciiTheme="minorEastAsia" w:hAnsiTheme="minorEastAsia" w:eastAsiaTheme="minorEastAsia"/>
          <w:color w:val="auto"/>
          <w:sz w:val="24"/>
          <w:szCs w:val="24"/>
        </w:rPr>
        <w:t>获取招标文件，并于2021</w:t>
      </w:r>
      <w:r>
        <w:rPr>
          <w:rStyle w:val="47"/>
          <w:rFonts w:hint="eastAsia" w:asciiTheme="minorEastAsia" w:hAnsiTheme="minorEastAsia" w:eastAsiaTheme="minorEastAsia"/>
          <w:bCs/>
          <w:color w:val="auto"/>
          <w:sz w:val="24"/>
          <w:szCs w:val="24"/>
        </w:rPr>
        <w:t>年</w:t>
      </w:r>
      <w:r>
        <w:rPr>
          <w:rStyle w:val="47"/>
          <w:rFonts w:hint="eastAsia" w:asciiTheme="minorEastAsia" w:hAnsiTheme="minorEastAsia" w:eastAsiaTheme="minorEastAsia"/>
          <w:bCs/>
          <w:color w:val="auto"/>
          <w:sz w:val="24"/>
          <w:szCs w:val="24"/>
        </w:rPr>
        <w:fldChar w:fldCharType="end"/>
      </w:r>
      <w:r>
        <w:rPr>
          <w:rStyle w:val="47"/>
          <w:rFonts w:hint="eastAsia" w:asciiTheme="minorEastAsia" w:hAnsiTheme="minorEastAsia" w:eastAsiaTheme="minorEastAsia"/>
          <w:bCs/>
          <w:color w:val="auto"/>
          <w:sz w:val="24"/>
          <w:szCs w:val="24"/>
          <w:lang w:val="en-US" w:eastAsia="zh-CN"/>
        </w:rPr>
        <w:t>1</w:t>
      </w:r>
      <w:r>
        <w:rPr>
          <w:rStyle w:val="47"/>
          <w:rFonts w:hint="eastAsia" w:asciiTheme="minorEastAsia" w:hAnsiTheme="minorEastAsia" w:eastAsiaTheme="minorEastAsia"/>
          <w:color w:val="auto"/>
          <w:sz w:val="24"/>
          <w:szCs w:val="24"/>
          <w:lang w:val="en-US" w:eastAsia="zh-CN"/>
        </w:rPr>
        <w:t xml:space="preserve">2 </w:t>
      </w:r>
      <w:r>
        <w:rPr>
          <w:rStyle w:val="47"/>
          <w:rFonts w:hint="eastAsia" w:asciiTheme="minorEastAsia" w:hAnsiTheme="minorEastAsia" w:eastAsiaTheme="minorEastAsia"/>
          <w:color w:val="auto"/>
          <w:sz w:val="24"/>
          <w:szCs w:val="24"/>
        </w:rPr>
        <w:t>月</w:t>
      </w:r>
      <w:r>
        <w:rPr>
          <w:rStyle w:val="47"/>
          <w:rFonts w:hint="eastAsia" w:asciiTheme="minorEastAsia" w:hAnsiTheme="minorEastAsia" w:eastAsiaTheme="minorEastAsia"/>
          <w:color w:val="auto"/>
          <w:sz w:val="24"/>
          <w:szCs w:val="24"/>
          <w:lang w:val="en-US" w:eastAsia="zh-CN"/>
        </w:rPr>
        <w:t>13</w:t>
      </w:r>
      <w:r>
        <w:rPr>
          <w:rStyle w:val="47"/>
          <w:rFonts w:hint="eastAsia" w:asciiTheme="minorEastAsia" w:hAnsiTheme="minorEastAsia" w:eastAsiaTheme="minorEastAsia"/>
          <w:color w:val="auto"/>
          <w:sz w:val="24"/>
          <w:szCs w:val="24"/>
        </w:rPr>
        <w:t>日</w:t>
      </w:r>
      <w:r>
        <w:rPr>
          <w:rStyle w:val="47"/>
          <w:rFonts w:hint="eastAsia" w:asciiTheme="minorEastAsia" w:hAnsiTheme="minorEastAsia" w:eastAsiaTheme="minorEastAsia"/>
          <w:color w:val="auto"/>
          <w:sz w:val="24"/>
          <w:szCs w:val="24"/>
          <w:lang w:val="en-US" w:eastAsia="zh-CN"/>
        </w:rPr>
        <w:t>15</w:t>
      </w:r>
      <w:r>
        <w:rPr>
          <w:rStyle w:val="47"/>
          <w:rFonts w:hint="eastAsia" w:asciiTheme="minorEastAsia" w:hAnsiTheme="minorEastAsia" w:eastAsiaTheme="minorEastAsia"/>
          <w:color w:val="auto"/>
          <w:sz w:val="24"/>
          <w:szCs w:val="24"/>
        </w:rPr>
        <w:t>点00分（</w:t>
      </w:r>
      <w:r>
        <w:rPr>
          <w:rFonts w:hint="eastAsia" w:asciiTheme="minorEastAsia" w:hAnsiTheme="minorEastAsia" w:eastAsiaTheme="minorEastAsia"/>
          <w:bCs/>
          <w:sz w:val="24"/>
          <w:szCs w:val="24"/>
        </w:rPr>
        <w:t>北京时间）前递交投标</w:t>
      </w:r>
      <w:r>
        <w:rPr>
          <w:rFonts w:asciiTheme="minorEastAsia" w:hAnsiTheme="minorEastAsia" w:eastAsiaTheme="minorEastAsia"/>
          <w:bCs/>
          <w:sz w:val="24"/>
          <w:szCs w:val="24"/>
        </w:rPr>
        <w:t>文件</w:t>
      </w:r>
      <w:r>
        <w:rPr>
          <w:rFonts w:hint="eastAsia" w:asciiTheme="minorEastAsia" w:hAnsiTheme="minorEastAsia" w:eastAsiaTheme="minorEastAsia"/>
          <w:sz w:val="24"/>
          <w:szCs w:val="24"/>
        </w:rPr>
        <w:t>。</w:t>
      </w:r>
    </w:p>
    <w:p>
      <w:pPr>
        <w:pStyle w:val="6"/>
        <w:keepLines w:val="0"/>
        <w:pageBreakBefore w:val="0"/>
        <w:widowControl w:val="0"/>
        <w:tabs>
          <w:tab w:val="left" w:pos="0"/>
          <w:tab w:val="left" w:pos="3165"/>
          <w:tab w:val="center" w:pos="4153"/>
        </w:tabs>
        <w:kinsoku/>
        <w:wordWrap/>
        <w:overflowPunct/>
        <w:topLinePunct w:val="0"/>
        <w:autoSpaceDE w:val="0"/>
        <w:autoSpaceDN w:val="0"/>
        <w:bidi w:val="0"/>
        <w:adjustRightInd w:val="0"/>
        <w:snapToGrid/>
        <w:spacing w:line="400" w:lineRule="exact"/>
        <w:jc w:val="left"/>
        <w:textAlignment w:val="auto"/>
        <w:rPr>
          <w:rFonts w:asciiTheme="minorEastAsia" w:hAnsiTheme="minorEastAsia" w:eastAsiaTheme="minorEastAsia"/>
          <w:sz w:val="24"/>
          <w:szCs w:val="24"/>
        </w:rPr>
      </w:pPr>
      <w:bookmarkStart w:id="6" w:name="_Toc35393790"/>
      <w:bookmarkStart w:id="7" w:name="_Toc28359079"/>
      <w:bookmarkStart w:id="8" w:name="_Toc35393621"/>
      <w:bookmarkStart w:id="9" w:name="_Toc28359002"/>
      <w:bookmarkStart w:id="10" w:name="_Hlk24379207"/>
      <w:r>
        <w:rPr>
          <w:rFonts w:hint="eastAsia" w:asciiTheme="minorEastAsia" w:hAnsiTheme="minorEastAsia" w:eastAsiaTheme="minorEastAsia"/>
          <w:sz w:val="24"/>
          <w:szCs w:val="24"/>
        </w:rPr>
        <w:t>一、项目基本情况</w:t>
      </w:r>
      <w:bookmarkEnd w:id="6"/>
      <w:bookmarkEnd w:id="7"/>
      <w:bookmarkEnd w:id="8"/>
      <w:bookmarkEnd w:id="9"/>
    </w:p>
    <w:p>
      <w:pPr>
        <w:keepLines w:val="0"/>
        <w:pageBreakBefore w:val="0"/>
        <w:widowControl w:val="0"/>
        <w:kinsoku/>
        <w:wordWrap/>
        <w:overflowPunct/>
        <w:topLinePunct w:val="0"/>
        <w:bidi w:val="0"/>
        <w:snapToGrid/>
        <w:spacing w:line="400" w:lineRule="exact"/>
        <w:ind w:firstLine="480" w:firstLineChars="200"/>
        <w:textAlignment w:val="auto"/>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rPr>
        <w:t>项目编号：</w:t>
      </w:r>
      <w:r>
        <w:rPr>
          <w:rFonts w:hint="eastAsia" w:asciiTheme="minorEastAsia" w:hAnsiTheme="minorEastAsia" w:eastAsiaTheme="minorEastAsia"/>
          <w:color w:val="auto"/>
          <w:sz w:val="24"/>
          <w:szCs w:val="24"/>
        </w:rPr>
        <w:t>YDZC  2021-FS</w:t>
      </w:r>
      <w:r>
        <w:rPr>
          <w:rFonts w:hint="eastAsia" w:asciiTheme="minorEastAsia" w:hAnsiTheme="minorEastAsia" w:eastAsiaTheme="minorEastAsia"/>
          <w:color w:val="auto"/>
          <w:sz w:val="24"/>
          <w:szCs w:val="24"/>
          <w:lang w:val="en-US" w:eastAsia="zh-CN"/>
        </w:rPr>
        <w:t xml:space="preserve">172 </w:t>
      </w:r>
      <w:r>
        <w:rPr>
          <w:rFonts w:hint="eastAsia" w:asciiTheme="minorEastAsia" w:hAnsiTheme="minorEastAsia" w:eastAsiaTheme="minorEastAsia"/>
          <w:color w:val="C00000"/>
          <w:sz w:val="24"/>
          <w:szCs w:val="24"/>
          <w:lang w:val="en-US" w:eastAsia="zh-CN"/>
        </w:rPr>
        <w:t xml:space="preserve"> </w:t>
      </w:r>
    </w:p>
    <w:p>
      <w:pPr>
        <w:keepLines w:val="0"/>
        <w:pageBreakBefore w:val="0"/>
        <w:widowControl w:val="0"/>
        <w:kinsoku/>
        <w:wordWrap/>
        <w:overflowPunct/>
        <w:topLinePunct w:val="0"/>
        <w:bidi w:val="0"/>
        <w:snapToGrid/>
        <w:spacing w:line="400" w:lineRule="exact"/>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项目名称：盐城区地下水污染防治规划方案项目</w:t>
      </w:r>
    </w:p>
    <w:bookmarkEnd w:id="10"/>
    <w:p>
      <w:pPr>
        <w:keepLines w:val="0"/>
        <w:pageBreakBefore w:val="0"/>
        <w:widowControl w:val="0"/>
        <w:kinsoku/>
        <w:wordWrap/>
        <w:overflowPunct/>
        <w:topLinePunct w:val="0"/>
        <w:bidi w:val="0"/>
        <w:snapToGrid/>
        <w:spacing w:line="400" w:lineRule="exact"/>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预算金额：人民币130万元</w:t>
      </w:r>
    </w:p>
    <w:p>
      <w:pPr>
        <w:keepLines w:val="0"/>
        <w:pageBreakBefore w:val="0"/>
        <w:widowControl w:val="0"/>
        <w:kinsoku/>
        <w:wordWrap/>
        <w:overflowPunct/>
        <w:topLinePunct w:val="0"/>
        <w:bidi w:val="0"/>
        <w:snapToGrid/>
        <w:spacing w:line="400" w:lineRule="exact"/>
        <w:ind w:firstLine="480" w:firstLineChars="200"/>
        <w:textAlignment w:val="auto"/>
        <w:rPr>
          <w:rFonts w:asciiTheme="minorEastAsia" w:hAnsiTheme="minorEastAsia" w:eastAsiaTheme="minorEastAsia"/>
          <w:sz w:val="24"/>
          <w:szCs w:val="24"/>
          <w:u w:val="single"/>
        </w:rPr>
      </w:pPr>
      <w:r>
        <w:rPr>
          <w:rFonts w:hint="eastAsia" w:asciiTheme="minorEastAsia" w:hAnsiTheme="minorEastAsia" w:eastAsiaTheme="minorEastAsia"/>
          <w:sz w:val="24"/>
          <w:szCs w:val="24"/>
        </w:rPr>
        <w:t>采购需求：详见招标文件采购需求部分</w:t>
      </w:r>
    </w:p>
    <w:p>
      <w:pPr>
        <w:keepLines w:val="0"/>
        <w:pageBreakBefore w:val="0"/>
        <w:widowControl w:val="0"/>
        <w:kinsoku/>
        <w:wordWrap/>
        <w:overflowPunct/>
        <w:topLinePunct w:val="0"/>
        <w:autoSpaceDE w:val="0"/>
        <w:autoSpaceDN w:val="0"/>
        <w:bidi w:val="0"/>
        <w:adjustRightInd w:val="0"/>
        <w:snapToGrid/>
        <w:spacing w:line="400" w:lineRule="exact"/>
        <w:ind w:firstLine="480" w:firstLineChars="200"/>
        <w:jc w:val="left"/>
        <w:textAlignment w:val="auto"/>
        <w:rPr>
          <w:rFonts w:asciiTheme="minorEastAsia" w:hAnsiTheme="minorEastAsia" w:eastAsiaTheme="minorEastAsia"/>
          <w:sz w:val="24"/>
          <w:szCs w:val="24"/>
        </w:rPr>
      </w:pPr>
      <w:r>
        <w:rPr>
          <w:rFonts w:hint="eastAsia" w:ascii="宋体" w:hAnsi="宋体"/>
          <w:bCs/>
          <w:color w:val="000000" w:themeColor="text1"/>
          <w:sz w:val="24"/>
          <w:szCs w:val="24"/>
        </w:rPr>
        <w:t>合同履行期限：</w:t>
      </w:r>
      <w:r>
        <w:rPr>
          <w:rFonts w:hint="eastAsia" w:asciiTheme="minorEastAsia" w:hAnsiTheme="minorEastAsia" w:eastAsiaTheme="minorEastAsia"/>
          <w:sz w:val="24"/>
          <w:szCs w:val="24"/>
        </w:rPr>
        <w:t>自合同正式签署后且所需真实有效的资料到齐之日起90天完成盐城区地下水污染防治规划方案项目送审稿。</w:t>
      </w:r>
    </w:p>
    <w:p>
      <w:pPr>
        <w:keepLines w:val="0"/>
        <w:pageBreakBefore w:val="0"/>
        <w:widowControl w:val="0"/>
        <w:kinsoku/>
        <w:wordWrap/>
        <w:overflowPunct/>
        <w:topLinePunct w:val="0"/>
        <w:bidi w:val="0"/>
        <w:snapToGrid/>
        <w:spacing w:line="400" w:lineRule="exact"/>
        <w:ind w:firstLine="480" w:firstLineChars="200"/>
        <w:textAlignment w:val="auto"/>
        <w:rPr>
          <w:rFonts w:asciiTheme="minorEastAsia" w:hAnsiTheme="minorEastAsia" w:eastAsiaTheme="minorEastAsia"/>
          <w:sz w:val="24"/>
          <w:szCs w:val="24"/>
        </w:rPr>
      </w:pPr>
      <w:r>
        <w:rPr>
          <w:rFonts w:hint="eastAsia" w:ascii="宋体" w:hAnsi="宋体" w:cs="宋体"/>
          <w:sz w:val="24"/>
          <w:szCs w:val="24"/>
        </w:rPr>
        <w:t>本项目不接受联合体投标。</w:t>
      </w:r>
    </w:p>
    <w:p>
      <w:pPr>
        <w:pStyle w:val="6"/>
        <w:keepLines w:val="0"/>
        <w:pageBreakBefore w:val="0"/>
        <w:widowControl w:val="0"/>
        <w:numPr>
          <w:ilvl w:val="0"/>
          <w:numId w:val="3"/>
        </w:numPr>
        <w:tabs>
          <w:tab w:val="left" w:pos="0"/>
          <w:tab w:val="left" w:pos="3165"/>
          <w:tab w:val="center" w:pos="4153"/>
        </w:tabs>
        <w:kinsoku/>
        <w:wordWrap/>
        <w:overflowPunct/>
        <w:topLinePunct w:val="0"/>
        <w:autoSpaceDE w:val="0"/>
        <w:autoSpaceDN w:val="0"/>
        <w:bidi w:val="0"/>
        <w:adjustRightInd w:val="0"/>
        <w:spacing w:line="360" w:lineRule="auto"/>
        <w:jc w:val="left"/>
        <w:textAlignment w:val="auto"/>
        <w:rPr>
          <w:rFonts w:asciiTheme="minorEastAsia" w:hAnsiTheme="minorEastAsia" w:eastAsiaTheme="minorEastAsia"/>
          <w:sz w:val="24"/>
          <w:szCs w:val="24"/>
        </w:rPr>
      </w:pPr>
      <w:bookmarkStart w:id="11" w:name="_Toc35393791"/>
      <w:bookmarkStart w:id="12" w:name="_Toc28359080"/>
      <w:bookmarkStart w:id="13" w:name="_Toc28359003"/>
      <w:bookmarkStart w:id="14" w:name="_Toc35393622"/>
      <w:r>
        <w:rPr>
          <w:rFonts w:hint="eastAsia" w:asciiTheme="minorEastAsia" w:hAnsiTheme="minorEastAsia" w:eastAsiaTheme="minorEastAsia"/>
          <w:sz w:val="24"/>
          <w:szCs w:val="24"/>
        </w:rPr>
        <w:t>申请人的资格要求：</w:t>
      </w:r>
      <w:bookmarkEnd w:id="11"/>
      <w:bookmarkEnd w:id="12"/>
      <w:bookmarkEnd w:id="13"/>
      <w:bookmarkEnd w:id="14"/>
    </w:p>
    <w:p>
      <w:pPr>
        <w:keepLines w:val="0"/>
        <w:pageBreakBefore w:val="0"/>
        <w:widowControl w:val="0"/>
        <w:kinsoku/>
        <w:wordWrap/>
        <w:overflowPunct/>
        <w:topLinePunct w:val="0"/>
        <w:bidi w:val="0"/>
        <w:spacing w:line="360" w:lineRule="auto"/>
        <w:ind w:firstLine="480" w:firstLineChars="200"/>
        <w:jc w:val="left"/>
        <w:textAlignment w:val="auto"/>
        <w:rPr>
          <w:rFonts w:ascii="宋体" w:hAnsi="宋体"/>
          <w:b w:val="0"/>
          <w:bCs w:val="0"/>
          <w:color w:val="000000" w:themeColor="text1"/>
          <w:sz w:val="24"/>
          <w:szCs w:val="24"/>
          <w:highlight w:val="yellow"/>
        </w:rPr>
      </w:pPr>
      <w:r>
        <w:rPr>
          <w:rFonts w:hint="eastAsia" w:ascii="宋体" w:hAnsi="宋体"/>
          <w:b w:val="0"/>
          <w:bCs w:val="0"/>
          <w:color w:val="000000" w:themeColor="text1"/>
          <w:sz w:val="24"/>
          <w:szCs w:val="24"/>
        </w:rPr>
        <w:t>1、符合政府采购法第二十二条第一款规定的条件，并提供下列材料：</w:t>
      </w:r>
    </w:p>
    <w:p>
      <w:pPr>
        <w:keepLines w:val="0"/>
        <w:pageBreakBefore w:val="0"/>
        <w:widowControl w:val="0"/>
        <w:kinsoku/>
        <w:wordWrap/>
        <w:overflowPunct/>
        <w:topLinePunct w:val="0"/>
        <w:bidi w:val="0"/>
        <w:snapToGrid w:val="0"/>
        <w:spacing w:line="360" w:lineRule="auto"/>
        <w:ind w:firstLine="480" w:firstLineChars="200"/>
        <w:jc w:val="left"/>
        <w:textAlignment w:val="auto"/>
        <w:rPr>
          <w:rFonts w:ascii="宋体" w:hAnsi="宋体" w:cs="宋体"/>
          <w:b w:val="0"/>
          <w:bCs w:val="0"/>
          <w:color w:val="000000" w:themeColor="text1"/>
          <w:kern w:val="0"/>
          <w:sz w:val="24"/>
          <w:szCs w:val="24"/>
        </w:rPr>
      </w:pPr>
      <w:r>
        <w:rPr>
          <w:rFonts w:hint="eastAsia" w:ascii="宋体" w:hAnsi="宋体" w:cs="宋体"/>
          <w:b w:val="0"/>
          <w:bCs w:val="0"/>
          <w:color w:val="000000" w:themeColor="text1"/>
          <w:kern w:val="0"/>
          <w:sz w:val="24"/>
          <w:szCs w:val="24"/>
        </w:rPr>
        <w:t>（1）法人或者其他组织的营业执照等证明文件，自然人的身份证明；</w:t>
      </w:r>
    </w:p>
    <w:p>
      <w:pPr>
        <w:keepLines w:val="0"/>
        <w:pageBreakBefore w:val="0"/>
        <w:widowControl w:val="0"/>
        <w:kinsoku/>
        <w:wordWrap/>
        <w:overflowPunct/>
        <w:topLinePunct w:val="0"/>
        <w:bidi w:val="0"/>
        <w:snapToGrid w:val="0"/>
        <w:spacing w:line="360" w:lineRule="auto"/>
        <w:ind w:firstLine="480" w:firstLineChars="200"/>
        <w:jc w:val="left"/>
        <w:textAlignment w:val="auto"/>
        <w:rPr>
          <w:rFonts w:ascii="宋体" w:hAnsi="宋体" w:cs="宋体"/>
          <w:b w:val="0"/>
          <w:bCs w:val="0"/>
          <w:color w:val="000000" w:themeColor="text1"/>
          <w:kern w:val="0"/>
          <w:sz w:val="24"/>
          <w:szCs w:val="24"/>
        </w:rPr>
      </w:pPr>
      <w:r>
        <w:rPr>
          <w:rFonts w:hint="eastAsia" w:ascii="宋体" w:hAnsi="宋体" w:cs="宋体"/>
          <w:b w:val="0"/>
          <w:bCs w:val="0"/>
          <w:color w:val="000000" w:themeColor="text1"/>
          <w:kern w:val="0"/>
          <w:sz w:val="24"/>
          <w:szCs w:val="24"/>
        </w:rPr>
        <w:t>（</w:t>
      </w:r>
      <w:r>
        <w:rPr>
          <w:rFonts w:ascii="宋体" w:hAnsi="宋体" w:cs="宋体"/>
          <w:b w:val="0"/>
          <w:bCs w:val="0"/>
          <w:color w:val="000000" w:themeColor="text1"/>
          <w:kern w:val="0"/>
          <w:sz w:val="24"/>
          <w:szCs w:val="24"/>
        </w:rPr>
        <w:t>2</w:t>
      </w:r>
      <w:r>
        <w:rPr>
          <w:rFonts w:hint="eastAsia" w:ascii="宋体" w:hAnsi="宋体" w:cs="宋体"/>
          <w:b w:val="0"/>
          <w:bCs w:val="0"/>
          <w:color w:val="000000" w:themeColor="text1"/>
          <w:kern w:val="0"/>
          <w:sz w:val="24"/>
          <w:szCs w:val="24"/>
        </w:rPr>
        <w:t>）上一年度的财务报表（成立不满一年不需提供）；</w:t>
      </w:r>
    </w:p>
    <w:p>
      <w:pPr>
        <w:keepLines w:val="0"/>
        <w:pageBreakBefore w:val="0"/>
        <w:widowControl w:val="0"/>
        <w:kinsoku/>
        <w:wordWrap/>
        <w:overflowPunct/>
        <w:topLinePunct w:val="0"/>
        <w:bidi w:val="0"/>
        <w:snapToGrid w:val="0"/>
        <w:spacing w:line="360" w:lineRule="auto"/>
        <w:ind w:firstLine="480" w:firstLineChars="200"/>
        <w:jc w:val="left"/>
        <w:textAlignment w:val="auto"/>
        <w:rPr>
          <w:rFonts w:ascii="宋体" w:hAnsi="宋体" w:cs="宋体"/>
          <w:b w:val="0"/>
          <w:bCs w:val="0"/>
          <w:color w:val="000000" w:themeColor="text1"/>
          <w:kern w:val="0"/>
          <w:sz w:val="24"/>
          <w:szCs w:val="24"/>
        </w:rPr>
      </w:pPr>
      <w:r>
        <w:rPr>
          <w:rFonts w:hint="eastAsia" w:ascii="宋体" w:hAnsi="宋体" w:cs="宋体"/>
          <w:b w:val="0"/>
          <w:bCs w:val="0"/>
          <w:color w:val="000000" w:themeColor="text1"/>
          <w:kern w:val="0"/>
          <w:sz w:val="24"/>
          <w:szCs w:val="24"/>
        </w:rPr>
        <w:t>（</w:t>
      </w:r>
      <w:r>
        <w:rPr>
          <w:rFonts w:ascii="宋体" w:hAnsi="宋体" w:cs="宋体"/>
          <w:b w:val="0"/>
          <w:bCs w:val="0"/>
          <w:color w:val="000000" w:themeColor="text1"/>
          <w:kern w:val="0"/>
          <w:sz w:val="24"/>
          <w:szCs w:val="24"/>
        </w:rPr>
        <w:t>3</w:t>
      </w:r>
      <w:r>
        <w:rPr>
          <w:rFonts w:hint="eastAsia" w:ascii="宋体" w:hAnsi="宋体" w:cs="宋体"/>
          <w:b w:val="0"/>
          <w:bCs w:val="0"/>
          <w:color w:val="000000" w:themeColor="text1"/>
          <w:kern w:val="0"/>
          <w:sz w:val="24"/>
          <w:szCs w:val="24"/>
        </w:rPr>
        <w:t>）依法缴纳税收和社会保障资金的相关材料；</w:t>
      </w:r>
    </w:p>
    <w:p>
      <w:pPr>
        <w:keepLines w:val="0"/>
        <w:pageBreakBefore w:val="0"/>
        <w:widowControl w:val="0"/>
        <w:kinsoku/>
        <w:wordWrap/>
        <w:overflowPunct/>
        <w:topLinePunct w:val="0"/>
        <w:bidi w:val="0"/>
        <w:snapToGrid w:val="0"/>
        <w:spacing w:line="360" w:lineRule="auto"/>
        <w:ind w:firstLine="480" w:firstLineChars="200"/>
        <w:jc w:val="left"/>
        <w:textAlignment w:val="auto"/>
        <w:rPr>
          <w:rFonts w:ascii="宋体" w:hAnsi="宋体" w:cs="宋体"/>
          <w:b w:val="0"/>
          <w:bCs w:val="0"/>
          <w:color w:val="000000" w:themeColor="text1"/>
          <w:kern w:val="0"/>
          <w:sz w:val="24"/>
          <w:szCs w:val="24"/>
        </w:rPr>
      </w:pPr>
      <w:r>
        <w:rPr>
          <w:rFonts w:hint="eastAsia" w:ascii="宋体" w:hAnsi="宋体" w:cs="宋体"/>
          <w:b w:val="0"/>
          <w:bCs w:val="0"/>
          <w:color w:val="000000" w:themeColor="text1"/>
          <w:kern w:val="0"/>
          <w:sz w:val="24"/>
          <w:szCs w:val="24"/>
        </w:rPr>
        <w:t>（</w:t>
      </w:r>
      <w:r>
        <w:rPr>
          <w:rFonts w:ascii="宋体" w:hAnsi="宋体" w:cs="宋体"/>
          <w:b w:val="0"/>
          <w:bCs w:val="0"/>
          <w:color w:val="000000" w:themeColor="text1"/>
          <w:kern w:val="0"/>
          <w:sz w:val="24"/>
          <w:szCs w:val="24"/>
        </w:rPr>
        <w:t>4</w:t>
      </w:r>
      <w:r>
        <w:rPr>
          <w:rFonts w:hint="eastAsia" w:ascii="宋体" w:hAnsi="宋体" w:cs="宋体"/>
          <w:b w:val="0"/>
          <w:bCs w:val="0"/>
          <w:color w:val="000000" w:themeColor="text1"/>
          <w:kern w:val="0"/>
          <w:sz w:val="24"/>
          <w:szCs w:val="24"/>
        </w:rPr>
        <w:t>）具备履行合同所必需的设备和专业技术能力的书面声明；</w:t>
      </w:r>
    </w:p>
    <w:p>
      <w:pPr>
        <w:keepLines w:val="0"/>
        <w:pageBreakBefore w:val="0"/>
        <w:widowControl w:val="0"/>
        <w:kinsoku/>
        <w:wordWrap/>
        <w:overflowPunct/>
        <w:topLinePunct w:val="0"/>
        <w:bidi w:val="0"/>
        <w:snapToGrid w:val="0"/>
        <w:spacing w:line="360" w:lineRule="auto"/>
        <w:ind w:firstLine="480" w:firstLineChars="200"/>
        <w:jc w:val="left"/>
        <w:textAlignment w:val="auto"/>
        <w:rPr>
          <w:rFonts w:ascii="宋体" w:hAnsi="宋体" w:cs="宋体"/>
          <w:b w:val="0"/>
          <w:bCs w:val="0"/>
          <w:color w:val="000000" w:themeColor="text1"/>
          <w:kern w:val="0"/>
          <w:sz w:val="24"/>
          <w:szCs w:val="24"/>
        </w:rPr>
      </w:pPr>
      <w:r>
        <w:rPr>
          <w:rFonts w:hint="eastAsia" w:ascii="宋体" w:hAnsi="宋体" w:cs="宋体"/>
          <w:b w:val="0"/>
          <w:bCs w:val="0"/>
          <w:color w:val="000000" w:themeColor="text1"/>
          <w:kern w:val="0"/>
          <w:sz w:val="24"/>
          <w:szCs w:val="24"/>
        </w:rPr>
        <w:t>（</w:t>
      </w:r>
      <w:r>
        <w:rPr>
          <w:rFonts w:ascii="宋体" w:hAnsi="宋体" w:cs="宋体"/>
          <w:b w:val="0"/>
          <w:bCs w:val="0"/>
          <w:color w:val="000000" w:themeColor="text1"/>
          <w:kern w:val="0"/>
          <w:sz w:val="24"/>
          <w:szCs w:val="24"/>
        </w:rPr>
        <w:t>5</w:t>
      </w:r>
      <w:r>
        <w:rPr>
          <w:rFonts w:hint="eastAsia" w:ascii="宋体" w:hAnsi="宋体" w:cs="宋体"/>
          <w:b w:val="0"/>
          <w:bCs w:val="0"/>
          <w:color w:val="000000" w:themeColor="text1"/>
          <w:kern w:val="0"/>
          <w:sz w:val="24"/>
          <w:szCs w:val="24"/>
        </w:rPr>
        <w:t>）参加政府采购活动前3年内在经营活动中没有重大违法记录的书面声明。</w:t>
      </w:r>
    </w:p>
    <w:p>
      <w:pPr>
        <w:keepLines w:val="0"/>
        <w:pageBreakBefore w:val="0"/>
        <w:widowControl w:val="0"/>
        <w:kinsoku/>
        <w:wordWrap/>
        <w:overflowPunct/>
        <w:topLinePunct w:val="0"/>
        <w:bidi w:val="0"/>
        <w:snapToGrid w:val="0"/>
        <w:spacing w:line="360" w:lineRule="auto"/>
        <w:ind w:firstLine="480" w:firstLineChars="200"/>
        <w:jc w:val="left"/>
        <w:textAlignment w:val="auto"/>
        <w:rPr>
          <w:rFonts w:ascii="宋体" w:hAnsi="宋体" w:cs="宋体"/>
          <w:b w:val="0"/>
          <w:bCs w:val="0"/>
          <w:color w:val="000000" w:themeColor="text1"/>
          <w:kern w:val="0"/>
          <w:sz w:val="24"/>
          <w:szCs w:val="24"/>
        </w:rPr>
      </w:pPr>
      <w:r>
        <w:rPr>
          <w:rFonts w:hint="eastAsia" w:ascii="宋体" w:hAnsi="宋体" w:cs="宋体"/>
          <w:b w:val="0"/>
          <w:bCs w:val="0"/>
          <w:color w:val="000000" w:themeColor="text1"/>
          <w:kern w:val="0"/>
          <w:sz w:val="24"/>
          <w:szCs w:val="24"/>
        </w:rPr>
        <w:t>2、落实政府采购政策需满足的资格要求：无</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sz w:val="24"/>
          <w:szCs w:val="24"/>
        </w:rPr>
      </w:pPr>
      <w:r>
        <w:rPr>
          <w:rFonts w:asciiTheme="minorEastAsia" w:hAnsiTheme="minorEastAsia" w:eastAsiaTheme="minorEastAsia"/>
          <w:sz w:val="24"/>
          <w:szCs w:val="24"/>
        </w:rPr>
        <w:t>3</w:t>
      </w:r>
      <w:r>
        <w:rPr>
          <w:rFonts w:hint="eastAsia" w:asciiTheme="minorEastAsia" w:hAnsiTheme="minorEastAsia" w:eastAsiaTheme="minorEastAsia"/>
          <w:sz w:val="24"/>
          <w:szCs w:val="24"/>
        </w:rPr>
        <w:t>、本项目的特定资格要求：</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cs="宋体"/>
          <w:b w:val="0"/>
          <w:bCs w:val="0"/>
          <w:color w:val="000000" w:themeColor="text1"/>
          <w:kern w:val="0"/>
          <w:sz w:val="24"/>
          <w:szCs w:val="24"/>
        </w:rPr>
      </w:pPr>
      <w:r>
        <w:rPr>
          <w:rFonts w:hint="eastAsia" w:asciiTheme="minorEastAsia" w:hAnsiTheme="minorEastAsia" w:eastAsiaTheme="minorEastAsia"/>
          <w:sz w:val="24"/>
          <w:szCs w:val="24"/>
        </w:rPr>
        <w:t>（1）</w:t>
      </w:r>
      <w:r>
        <w:rPr>
          <w:rFonts w:hint="eastAsia" w:ascii="宋体" w:hAnsi="宋体" w:cs="宋体"/>
          <w:b w:val="0"/>
          <w:bCs w:val="0"/>
          <w:color w:val="000000" w:themeColor="text1"/>
          <w:kern w:val="0"/>
          <w:sz w:val="24"/>
          <w:szCs w:val="24"/>
        </w:rPr>
        <w:t>未被</w:t>
      </w:r>
      <w:bookmarkStart w:id="15" w:name="_Hlk44767724"/>
      <w:r>
        <w:rPr>
          <w:rFonts w:hint="eastAsia" w:ascii="宋体" w:hAnsi="宋体" w:cs="宋体"/>
          <w:b w:val="0"/>
          <w:bCs w:val="0"/>
          <w:color w:val="000000" w:themeColor="text1"/>
          <w:kern w:val="0"/>
          <w:sz w:val="24"/>
          <w:szCs w:val="24"/>
        </w:rPr>
        <w:t>“信用中国”网站</w:t>
      </w:r>
      <w:bookmarkEnd w:id="15"/>
      <w:r>
        <w:rPr>
          <w:rFonts w:hint="eastAsia" w:ascii="宋体" w:hAnsi="宋体" w:cs="宋体"/>
          <w:b w:val="0"/>
          <w:bCs w:val="0"/>
          <w:color w:val="000000" w:themeColor="text1"/>
          <w:kern w:val="0"/>
          <w:sz w:val="24"/>
          <w:szCs w:val="24"/>
        </w:rPr>
        <w:t>（www.creditchina.gov.cn）列入失信被执行人、重大税收违法案件当事人名单、政府采购严重失信行为记录名单。</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cs="宋体"/>
          <w:b w:val="0"/>
          <w:bCs w:val="0"/>
          <w:color w:val="000000" w:themeColor="text1"/>
          <w:kern w:val="0"/>
          <w:sz w:val="24"/>
          <w:szCs w:val="24"/>
        </w:rPr>
      </w:pPr>
      <w:r>
        <w:rPr>
          <w:rFonts w:hint="eastAsia" w:ascii="宋体" w:hAnsi="宋体" w:cs="宋体"/>
          <w:b w:val="0"/>
          <w:bCs w:val="0"/>
          <w:color w:val="000000" w:themeColor="text1"/>
          <w:kern w:val="0"/>
          <w:sz w:val="24"/>
          <w:szCs w:val="24"/>
        </w:rPr>
        <w:t>（</w:t>
      </w:r>
      <w:r>
        <w:rPr>
          <w:rFonts w:hint="eastAsia" w:ascii="宋体" w:hAnsi="宋体" w:cs="宋体"/>
          <w:b w:val="0"/>
          <w:bCs w:val="0"/>
          <w:color w:val="000000" w:themeColor="text1"/>
          <w:kern w:val="0"/>
          <w:sz w:val="24"/>
          <w:szCs w:val="24"/>
          <w:lang w:val="en-US" w:eastAsia="zh-CN"/>
        </w:rPr>
        <w:t>2</w:t>
      </w:r>
      <w:r>
        <w:rPr>
          <w:rFonts w:hint="eastAsia" w:ascii="宋体" w:hAnsi="宋体" w:cs="宋体"/>
          <w:b w:val="0"/>
          <w:bCs w:val="0"/>
          <w:color w:val="000000" w:themeColor="text1"/>
          <w:kern w:val="0"/>
          <w:sz w:val="24"/>
          <w:szCs w:val="24"/>
        </w:rPr>
        <w:t>）单位负责人为同一人或者存在直接控股、管理关系的不同投标人，不得参加同一合同项下的政府采购活动。</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pPr>
      <w:r>
        <w:rPr>
          <w:rFonts w:hint="eastAsia" w:ascii="宋体" w:hAnsi="宋体" w:cs="宋体"/>
          <w:b w:val="0"/>
          <w:bCs w:val="0"/>
          <w:color w:val="000000" w:themeColor="text1"/>
          <w:kern w:val="0"/>
          <w:sz w:val="24"/>
          <w:szCs w:val="24"/>
        </w:rPr>
        <w:t>（</w:t>
      </w:r>
      <w:r>
        <w:rPr>
          <w:rFonts w:hint="eastAsia" w:ascii="宋体" w:hAnsi="宋体" w:cs="宋体"/>
          <w:b w:val="0"/>
          <w:bCs w:val="0"/>
          <w:color w:val="000000" w:themeColor="text1"/>
          <w:kern w:val="0"/>
          <w:sz w:val="24"/>
          <w:szCs w:val="24"/>
          <w:lang w:val="en-US" w:eastAsia="zh-CN"/>
        </w:rPr>
        <w:t>3</w:t>
      </w:r>
      <w:r>
        <w:rPr>
          <w:rFonts w:hint="eastAsia" w:ascii="宋体" w:hAnsi="宋体" w:cs="宋体"/>
          <w:b w:val="0"/>
          <w:bCs w:val="0"/>
          <w:color w:val="000000" w:themeColor="text1"/>
          <w:kern w:val="0"/>
          <w:sz w:val="24"/>
          <w:szCs w:val="24"/>
        </w:rPr>
        <w:t>）营业执照经营范围包含本次招标内容。</w:t>
      </w:r>
    </w:p>
    <w:p>
      <w:pPr>
        <w:pStyle w:val="6"/>
        <w:tabs>
          <w:tab w:val="left" w:pos="0"/>
          <w:tab w:val="left" w:pos="3165"/>
          <w:tab w:val="center" w:pos="4153"/>
        </w:tabs>
        <w:autoSpaceDE w:val="0"/>
        <w:autoSpaceDN w:val="0"/>
        <w:adjustRightInd w:val="0"/>
        <w:spacing w:line="440" w:lineRule="exact"/>
        <w:jc w:val="left"/>
        <w:rPr>
          <w:rFonts w:asciiTheme="minorEastAsia" w:hAnsiTheme="minorEastAsia" w:eastAsiaTheme="minorEastAsia"/>
          <w:sz w:val="24"/>
          <w:szCs w:val="24"/>
        </w:rPr>
      </w:pPr>
      <w:bookmarkStart w:id="16" w:name="_Toc28359004"/>
      <w:bookmarkStart w:id="17" w:name="_Toc35393623"/>
      <w:bookmarkStart w:id="18" w:name="_Toc35393792"/>
      <w:bookmarkStart w:id="19" w:name="_Toc28359081"/>
      <w:r>
        <w:rPr>
          <w:rFonts w:hint="eastAsia" w:asciiTheme="minorEastAsia" w:hAnsiTheme="minorEastAsia" w:eastAsiaTheme="minorEastAsia"/>
          <w:sz w:val="24"/>
          <w:szCs w:val="24"/>
        </w:rPr>
        <w:t>三、获取招标文件</w:t>
      </w:r>
      <w:bookmarkEnd w:id="16"/>
      <w:bookmarkEnd w:id="17"/>
      <w:bookmarkEnd w:id="18"/>
      <w:bookmarkEnd w:id="19"/>
    </w:p>
    <w:p>
      <w:pPr>
        <w:spacing w:line="440" w:lineRule="exact"/>
        <w:ind w:firstLine="540"/>
        <w:rPr>
          <w:rFonts w:asciiTheme="minorEastAsia" w:hAnsiTheme="minorEastAsia" w:eastAsiaTheme="minorEastAsia"/>
          <w:sz w:val="24"/>
          <w:szCs w:val="24"/>
        </w:rPr>
      </w:pPr>
      <w:r>
        <w:rPr>
          <w:rFonts w:hint="eastAsia" w:asciiTheme="minorEastAsia" w:hAnsiTheme="minorEastAsia" w:eastAsiaTheme="minorEastAsia"/>
          <w:sz w:val="24"/>
          <w:szCs w:val="24"/>
        </w:rPr>
        <w:t>时间：自公告之日起至投标截止时间前1日</w:t>
      </w:r>
    </w:p>
    <w:p>
      <w:pPr>
        <w:spacing w:line="440" w:lineRule="exact"/>
        <w:ind w:firstLine="540"/>
        <w:rPr>
          <w:rFonts w:asciiTheme="minorEastAsia" w:hAnsiTheme="minorEastAsia" w:eastAsiaTheme="minorEastAsia"/>
          <w:sz w:val="24"/>
          <w:szCs w:val="24"/>
        </w:rPr>
      </w:pPr>
      <w:r>
        <w:rPr>
          <w:rFonts w:hint="eastAsia" w:asciiTheme="minorEastAsia" w:hAnsiTheme="minorEastAsia" w:eastAsiaTheme="minorEastAsia"/>
          <w:sz w:val="24"/>
          <w:szCs w:val="24"/>
        </w:rPr>
        <w:t>地点：盐城市政府采购网    盐城市盐都区人民政府网</w:t>
      </w:r>
    </w:p>
    <w:p>
      <w:pPr>
        <w:spacing w:line="440" w:lineRule="exact"/>
        <w:ind w:firstLine="540"/>
        <w:rPr>
          <w:rFonts w:asciiTheme="minorEastAsia" w:hAnsiTheme="minorEastAsia" w:eastAsiaTheme="minorEastAsia"/>
          <w:sz w:val="24"/>
          <w:szCs w:val="24"/>
        </w:rPr>
      </w:pPr>
      <w:r>
        <w:rPr>
          <w:rFonts w:hint="eastAsia" w:asciiTheme="minorEastAsia" w:hAnsiTheme="minorEastAsia" w:eastAsiaTheme="minorEastAsia"/>
          <w:sz w:val="24"/>
          <w:szCs w:val="24"/>
        </w:rPr>
        <w:t>方式：符合资格要求的投标人可自行下载采购文件，采购文件见盐城市政府采购网、盐城市盐都区人民政府网本公告附件。</w:t>
      </w:r>
    </w:p>
    <w:p>
      <w:pPr>
        <w:spacing w:line="440" w:lineRule="exact"/>
        <w:ind w:firstLine="540"/>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rPr>
        <w:t>售价：</w:t>
      </w:r>
      <w:r>
        <w:rPr>
          <w:rFonts w:hint="eastAsia" w:asciiTheme="minorEastAsia" w:hAnsiTheme="minorEastAsia" w:eastAsiaTheme="minorEastAsia"/>
          <w:sz w:val="24"/>
          <w:szCs w:val="24"/>
          <w:lang w:val="en-US" w:eastAsia="zh-CN"/>
        </w:rPr>
        <w:t>免费</w:t>
      </w:r>
    </w:p>
    <w:p>
      <w:pPr>
        <w:spacing w:line="440" w:lineRule="exact"/>
        <w:rPr>
          <w:rFonts w:asciiTheme="minorEastAsia" w:hAnsiTheme="minorEastAsia" w:eastAsiaTheme="minorEastAsia"/>
          <w:sz w:val="24"/>
          <w:szCs w:val="24"/>
        </w:rPr>
      </w:pPr>
      <w:bookmarkStart w:id="20" w:name="_Toc28359005"/>
      <w:bookmarkStart w:id="21" w:name="_Toc28359082"/>
      <w:bookmarkStart w:id="22" w:name="_Toc35393793"/>
      <w:bookmarkStart w:id="23" w:name="_Toc35393624"/>
      <w:r>
        <w:rPr>
          <w:rFonts w:hint="eastAsia" w:asciiTheme="minorEastAsia" w:hAnsiTheme="minorEastAsia" w:eastAsiaTheme="minorEastAsia"/>
          <w:sz w:val="24"/>
          <w:szCs w:val="24"/>
        </w:rPr>
        <w:t>四、提交投标文件</w:t>
      </w:r>
      <w:bookmarkEnd w:id="20"/>
      <w:bookmarkEnd w:id="21"/>
      <w:r>
        <w:rPr>
          <w:rFonts w:hint="eastAsia" w:asciiTheme="minorEastAsia" w:hAnsiTheme="minorEastAsia" w:eastAsiaTheme="minorEastAsia"/>
          <w:sz w:val="24"/>
          <w:szCs w:val="24"/>
        </w:rPr>
        <w:t>截止时间、开标时间和地点</w:t>
      </w:r>
      <w:bookmarkEnd w:id="22"/>
      <w:bookmarkEnd w:id="23"/>
    </w:p>
    <w:p>
      <w:pPr>
        <w:spacing w:line="440" w:lineRule="exact"/>
        <w:ind w:firstLine="480" w:firstLineChars="200"/>
        <w:rPr>
          <w:rFonts w:asciiTheme="minorEastAsia" w:hAnsiTheme="minorEastAsia" w:eastAsiaTheme="minorEastAsia"/>
          <w:bCs/>
          <w:color w:val="auto"/>
          <w:sz w:val="24"/>
          <w:szCs w:val="24"/>
          <w:u w:val="single"/>
        </w:rPr>
      </w:pPr>
      <w:r>
        <w:rPr>
          <w:rFonts w:hint="eastAsia" w:asciiTheme="minorEastAsia" w:hAnsiTheme="minorEastAsia" w:eastAsiaTheme="minorEastAsia"/>
          <w:bCs/>
          <w:color w:val="auto"/>
          <w:sz w:val="24"/>
          <w:szCs w:val="24"/>
          <w:u w:val="single"/>
        </w:rPr>
        <w:t>2021年</w:t>
      </w:r>
      <w:r>
        <w:rPr>
          <w:rFonts w:hint="eastAsia" w:asciiTheme="minorEastAsia" w:hAnsiTheme="minorEastAsia" w:eastAsiaTheme="minorEastAsia"/>
          <w:bCs/>
          <w:color w:val="auto"/>
          <w:sz w:val="24"/>
          <w:szCs w:val="24"/>
          <w:u w:val="single"/>
          <w:lang w:val="en-US" w:eastAsia="zh-CN"/>
        </w:rPr>
        <w:t>12</w:t>
      </w:r>
      <w:r>
        <w:rPr>
          <w:rFonts w:hint="eastAsia" w:asciiTheme="minorEastAsia" w:hAnsiTheme="minorEastAsia" w:eastAsiaTheme="minorEastAsia"/>
          <w:bCs/>
          <w:color w:val="auto"/>
          <w:sz w:val="24"/>
          <w:szCs w:val="24"/>
          <w:u w:val="single"/>
        </w:rPr>
        <w:t>月</w:t>
      </w:r>
      <w:r>
        <w:rPr>
          <w:rFonts w:hint="eastAsia" w:asciiTheme="minorEastAsia" w:hAnsiTheme="minorEastAsia" w:eastAsiaTheme="minorEastAsia"/>
          <w:bCs/>
          <w:color w:val="auto"/>
          <w:sz w:val="24"/>
          <w:szCs w:val="24"/>
          <w:u w:val="single"/>
          <w:lang w:val="en-US" w:eastAsia="zh-CN"/>
        </w:rPr>
        <w:t>13</w:t>
      </w:r>
      <w:r>
        <w:rPr>
          <w:rFonts w:hint="eastAsia" w:asciiTheme="minorEastAsia" w:hAnsiTheme="minorEastAsia" w:eastAsiaTheme="minorEastAsia"/>
          <w:bCs/>
          <w:color w:val="auto"/>
          <w:sz w:val="24"/>
          <w:szCs w:val="24"/>
          <w:u w:val="single"/>
        </w:rPr>
        <w:t>日</w:t>
      </w:r>
      <w:r>
        <w:rPr>
          <w:rFonts w:hint="eastAsia" w:asciiTheme="minorEastAsia" w:hAnsiTheme="minorEastAsia" w:eastAsiaTheme="minorEastAsia"/>
          <w:bCs/>
          <w:color w:val="auto"/>
          <w:sz w:val="24"/>
          <w:szCs w:val="24"/>
          <w:u w:val="single"/>
          <w:lang w:val="en-US" w:eastAsia="zh-CN"/>
        </w:rPr>
        <w:t>15</w:t>
      </w:r>
      <w:bookmarkStart w:id="163" w:name="_GoBack"/>
      <w:bookmarkEnd w:id="163"/>
      <w:r>
        <w:rPr>
          <w:rFonts w:hint="eastAsia" w:asciiTheme="minorEastAsia" w:hAnsiTheme="minorEastAsia" w:eastAsiaTheme="minorEastAsia"/>
          <w:bCs/>
          <w:color w:val="auto"/>
          <w:sz w:val="24"/>
          <w:szCs w:val="24"/>
          <w:u w:val="single"/>
        </w:rPr>
        <w:t>点00分</w:t>
      </w:r>
      <w:r>
        <w:rPr>
          <w:rFonts w:hint="eastAsia" w:asciiTheme="minorEastAsia" w:hAnsiTheme="minorEastAsia" w:eastAsiaTheme="minorEastAsia"/>
          <w:bCs/>
          <w:color w:val="auto"/>
          <w:sz w:val="24"/>
          <w:szCs w:val="24"/>
        </w:rPr>
        <w:t>（北京时间）</w:t>
      </w:r>
    </w:p>
    <w:p>
      <w:pPr>
        <w:spacing w:line="440" w:lineRule="exact"/>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地点：</w:t>
      </w:r>
      <w:r>
        <w:rPr>
          <w:rFonts w:hint="eastAsia" w:asciiTheme="minorEastAsia" w:hAnsiTheme="minorEastAsia" w:eastAsiaTheme="minorEastAsia"/>
          <w:b w:val="0"/>
          <w:bCs w:val="0"/>
          <w:sz w:val="24"/>
          <w:szCs w:val="24"/>
          <w:lang w:val="en-US" w:eastAsia="zh-CN"/>
        </w:rPr>
        <w:t>盐都区瞰都公馆10号楼1001会议室</w:t>
      </w:r>
    </w:p>
    <w:p>
      <w:pPr>
        <w:pStyle w:val="6"/>
        <w:tabs>
          <w:tab w:val="left" w:pos="0"/>
          <w:tab w:val="left" w:pos="3165"/>
          <w:tab w:val="center" w:pos="4153"/>
        </w:tabs>
        <w:autoSpaceDE w:val="0"/>
        <w:autoSpaceDN w:val="0"/>
        <w:adjustRightInd w:val="0"/>
        <w:spacing w:line="440" w:lineRule="exact"/>
        <w:jc w:val="left"/>
        <w:rPr>
          <w:rFonts w:asciiTheme="minorEastAsia" w:hAnsiTheme="minorEastAsia" w:eastAsiaTheme="minorEastAsia"/>
          <w:sz w:val="24"/>
          <w:szCs w:val="24"/>
        </w:rPr>
      </w:pPr>
      <w:bookmarkStart w:id="24" w:name="_Toc28359007"/>
      <w:bookmarkStart w:id="25" w:name="_Toc28359084"/>
      <w:bookmarkStart w:id="26" w:name="_Toc35393625"/>
      <w:bookmarkStart w:id="27" w:name="_Toc35393794"/>
      <w:r>
        <w:rPr>
          <w:rFonts w:hint="eastAsia" w:asciiTheme="minorEastAsia" w:hAnsiTheme="minorEastAsia" w:eastAsiaTheme="minorEastAsia"/>
          <w:sz w:val="24"/>
          <w:szCs w:val="24"/>
        </w:rPr>
        <w:t>五、公告期限</w:t>
      </w:r>
      <w:bookmarkEnd w:id="24"/>
      <w:bookmarkEnd w:id="25"/>
      <w:bookmarkEnd w:id="26"/>
      <w:bookmarkEnd w:id="27"/>
    </w:p>
    <w:p>
      <w:pPr>
        <w:spacing w:line="440" w:lineRule="exact"/>
        <w:ind w:firstLine="540"/>
        <w:rPr>
          <w:rFonts w:asciiTheme="minorEastAsia" w:hAnsiTheme="minorEastAsia" w:eastAsiaTheme="minorEastAsia"/>
          <w:sz w:val="24"/>
          <w:szCs w:val="24"/>
        </w:rPr>
      </w:pPr>
      <w:r>
        <w:rPr>
          <w:rFonts w:hint="eastAsia" w:asciiTheme="minorEastAsia" w:hAnsiTheme="minorEastAsia" w:eastAsiaTheme="minorEastAsia"/>
          <w:sz w:val="24"/>
          <w:szCs w:val="24"/>
        </w:rPr>
        <w:t>自本公告发布之日起5个工作日。</w:t>
      </w:r>
    </w:p>
    <w:p>
      <w:pPr>
        <w:spacing w:line="440" w:lineRule="exact"/>
        <w:rPr>
          <w:rFonts w:asciiTheme="minorEastAsia" w:hAnsiTheme="minorEastAsia" w:eastAsiaTheme="minorEastAsia"/>
          <w:sz w:val="24"/>
          <w:szCs w:val="24"/>
        </w:rPr>
      </w:pPr>
      <w:bookmarkStart w:id="28" w:name="_Toc28359085"/>
      <w:bookmarkStart w:id="29" w:name="_Toc35393627"/>
      <w:bookmarkStart w:id="30" w:name="_Toc35393796"/>
      <w:bookmarkStart w:id="31" w:name="_Toc28359008"/>
      <w:r>
        <w:rPr>
          <w:rFonts w:hint="eastAsia" w:asciiTheme="minorEastAsia" w:hAnsiTheme="minorEastAsia" w:eastAsiaTheme="minorEastAsia"/>
          <w:sz w:val="24"/>
          <w:szCs w:val="24"/>
        </w:rPr>
        <w:t>六、其他补充事宜</w:t>
      </w:r>
    </w:p>
    <w:p>
      <w:pPr>
        <w:spacing w:line="440" w:lineRule="exact"/>
        <w:ind w:firstLine="540"/>
        <w:rPr>
          <w:rFonts w:asciiTheme="minorEastAsia" w:hAnsiTheme="minorEastAsia" w:eastAsiaTheme="minorEastAsia"/>
          <w:sz w:val="24"/>
          <w:szCs w:val="24"/>
        </w:rPr>
      </w:pPr>
      <w:r>
        <w:rPr>
          <w:rFonts w:hint="eastAsia" w:asciiTheme="minorEastAsia" w:hAnsiTheme="minorEastAsia" w:eastAsiaTheme="minorEastAsia"/>
          <w:sz w:val="24"/>
          <w:szCs w:val="24"/>
        </w:rPr>
        <w:t>投标文件正本一份、副本肆份。</w:t>
      </w:r>
    </w:p>
    <w:p>
      <w:pPr>
        <w:spacing w:line="44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七、对本次招标提出询问，请按</w:t>
      </w:r>
      <w:r>
        <w:rPr>
          <w:rFonts w:asciiTheme="minorEastAsia" w:hAnsiTheme="minorEastAsia" w:eastAsiaTheme="minorEastAsia"/>
          <w:sz w:val="24"/>
          <w:szCs w:val="24"/>
        </w:rPr>
        <w:t>以下方式</w:t>
      </w:r>
      <w:r>
        <w:rPr>
          <w:rFonts w:hint="eastAsia" w:asciiTheme="minorEastAsia" w:hAnsiTheme="minorEastAsia" w:eastAsiaTheme="minorEastAsia"/>
          <w:sz w:val="24"/>
          <w:szCs w:val="24"/>
        </w:rPr>
        <w:t>联系。</w:t>
      </w:r>
      <w:bookmarkEnd w:id="28"/>
      <w:bookmarkEnd w:id="29"/>
      <w:bookmarkEnd w:id="30"/>
      <w:bookmarkEnd w:id="31"/>
      <w:bookmarkStart w:id="32" w:name="_Toc28359019"/>
      <w:bookmarkStart w:id="33" w:name="_Toc28359096"/>
      <w:bookmarkStart w:id="34" w:name="_Toc35393806"/>
      <w:bookmarkStart w:id="35" w:name="_Toc35393637"/>
    </w:p>
    <w:bookmarkEnd w:id="32"/>
    <w:bookmarkEnd w:id="33"/>
    <w:bookmarkEnd w:id="34"/>
    <w:bookmarkEnd w:id="35"/>
    <w:p>
      <w:pPr>
        <w:pStyle w:val="6"/>
        <w:pageBreakBefore w:val="0"/>
        <w:widowControl w:val="0"/>
        <w:tabs>
          <w:tab w:val="left" w:pos="0"/>
          <w:tab w:val="left" w:pos="3165"/>
          <w:tab w:val="center" w:pos="4153"/>
        </w:tabs>
        <w:kinsoku/>
        <w:wordWrap/>
        <w:overflowPunct/>
        <w:topLinePunct w:val="0"/>
        <w:autoSpaceDE w:val="0"/>
        <w:autoSpaceDN w:val="0"/>
        <w:bidi w:val="0"/>
        <w:adjustRightInd w:val="0"/>
        <w:snapToGrid/>
        <w:spacing w:line="360" w:lineRule="auto"/>
        <w:jc w:val="both"/>
        <w:textAlignment w:val="auto"/>
        <w:rPr>
          <w:rFonts w:asciiTheme="minorEastAsia" w:hAnsiTheme="minorEastAsia" w:eastAsiaTheme="minorEastAsia"/>
          <w:b w:val="0"/>
          <w:bCs w:val="0"/>
          <w:sz w:val="24"/>
          <w:szCs w:val="24"/>
        </w:rPr>
      </w:pPr>
      <w:bookmarkStart w:id="36" w:name="_Toc120614211"/>
      <w:r>
        <w:rPr>
          <w:rFonts w:hint="eastAsia" w:cs="宋体" w:asciiTheme="minorEastAsia" w:hAnsiTheme="minorEastAsia" w:eastAsiaTheme="minorEastAsia"/>
          <w:b w:val="0"/>
          <w:bCs w:val="0"/>
          <w:sz w:val="24"/>
          <w:szCs w:val="24"/>
        </w:rPr>
        <w:t>1.采购人信息</w:t>
      </w:r>
    </w:p>
    <w:p>
      <w:pPr>
        <w:pageBreakBefore w:val="0"/>
        <w:widowControl w:val="0"/>
        <w:kinsoku/>
        <w:wordWrap/>
        <w:overflowPunct/>
        <w:topLinePunct w:val="0"/>
        <w:bidi w:val="0"/>
        <w:snapToGrid/>
        <w:spacing w:line="360" w:lineRule="auto"/>
        <w:ind w:left="1079" w:leftChars="371" w:hanging="300" w:hangingChars="125"/>
        <w:jc w:val="left"/>
        <w:textAlignment w:val="auto"/>
        <w:rPr>
          <w:rFonts w:hint="default" w:asciiTheme="minorEastAsia" w:hAnsiTheme="minorEastAsia" w:eastAsiaTheme="minorEastAsia"/>
          <w:b w:val="0"/>
          <w:bCs w:val="0"/>
          <w:sz w:val="24"/>
          <w:szCs w:val="24"/>
          <w:u w:val="none"/>
          <w:lang w:val="en-US" w:eastAsia="zh-CN"/>
        </w:rPr>
      </w:pPr>
      <w:r>
        <w:rPr>
          <w:rFonts w:hint="eastAsia" w:asciiTheme="minorEastAsia" w:hAnsiTheme="minorEastAsia" w:eastAsiaTheme="minorEastAsia"/>
          <w:b w:val="0"/>
          <w:bCs w:val="0"/>
          <w:sz w:val="24"/>
          <w:szCs w:val="24"/>
          <w:u w:val="none"/>
        </w:rPr>
        <w:t>名    称：</w:t>
      </w:r>
      <w:r>
        <w:rPr>
          <w:rFonts w:hint="eastAsia" w:asciiTheme="minorEastAsia" w:hAnsiTheme="minorEastAsia" w:eastAsiaTheme="minorEastAsia"/>
          <w:b w:val="0"/>
          <w:bCs w:val="0"/>
          <w:sz w:val="24"/>
          <w:szCs w:val="24"/>
          <w:u w:val="single"/>
        </w:rPr>
        <w:t>盐城市盐都生态环境局</w:t>
      </w:r>
      <w:r>
        <w:rPr>
          <w:rFonts w:hint="eastAsia" w:asciiTheme="minorEastAsia" w:hAnsiTheme="minorEastAsia" w:eastAsiaTheme="minorEastAsia"/>
          <w:b w:val="0"/>
          <w:bCs w:val="0"/>
          <w:sz w:val="24"/>
          <w:szCs w:val="24"/>
          <w:u w:val="single"/>
          <w:lang w:val="en-US" w:eastAsia="zh-CN"/>
        </w:rPr>
        <w:t xml:space="preserve">     </w:t>
      </w:r>
    </w:p>
    <w:p>
      <w:pPr>
        <w:pageBreakBefore w:val="0"/>
        <w:widowControl w:val="0"/>
        <w:kinsoku/>
        <w:wordWrap/>
        <w:overflowPunct/>
        <w:topLinePunct w:val="0"/>
        <w:bidi w:val="0"/>
        <w:snapToGrid/>
        <w:spacing w:line="360" w:lineRule="auto"/>
        <w:ind w:left="1079" w:leftChars="371" w:hanging="300" w:hangingChars="125"/>
        <w:jc w:val="left"/>
        <w:textAlignment w:val="auto"/>
        <w:rPr>
          <w:rFonts w:ascii="宋体" w:hAnsi="宋体" w:cs="宋体"/>
          <w:b w:val="0"/>
          <w:bCs w:val="0"/>
          <w:sz w:val="24"/>
          <w:szCs w:val="24"/>
          <w:u w:val="none"/>
        </w:rPr>
      </w:pPr>
      <w:r>
        <w:rPr>
          <w:rFonts w:hint="eastAsia" w:asciiTheme="minorEastAsia" w:hAnsiTheme="minorEastAsia" w:eastAsiaTheme="minorEastAsia"/>
          <w:b w:val="0"/>
          <w:bCs w:val="0"/>
          <w:sz w:val="24"/>
          <w:szCs w:val="24"/>
          <w:u w:val="none"/>
        </w:rPr>
        <w:t>地    址：</w:t>
      </w:r>
      <w:r>
        <w:rPr>
          <w:rFonts w:hint="eastAsia" w:ascii="宋体" w:hAnsi="宋体" w:cs="宋体"/>
          <w:b w:val="0"/>
          <w:bCs w:val="0"/>
          <w:sz w:val="24"/>
          <w:szCs w:val="24"/>
          <w:u w:val="single"/>
        </w:rPr>
        <w:t>盐城市东进西路兆泉商务中心十二楼</w:t>
      </w:r>
    </w:p>
    <w:p>
      <w:pPr>
        <w:pageBreakBefore w:val="0"/>
        <w:widowControl w:val="0"/>
        <w:kinsoku/>
        <w:wordWrap/>
        <w:overflowPunct/>
        <w:topLinePunct w:val="0"/>
        <w:bidi w:val="0"/>
        <w:snapToGrid/>
        <w:spacing w:line="360" w:lineRule="auto"/>
        <w:ind w:left="1079" w:leftChars="371" w:hanging="300" w:hangingChars="125"/>
        <w:jc w:val="left"/>
        <w:textAlignment w:val="auto"/>
        <w:rPr>
          <w:rFonts w:hint="default" w:eastAsia="宋体" w:asciiTheme="minorEastAsia" w:hAnsiTheme="minorEastAsia"/>
          <w:b w:val="0"/>
          <w:bCs w:val="0"/>
          <w:sz w:val="24"/>
          <w:szCs w:val="24"/>
          <w:u w:val="none"/>
          <w:lang w:val="en-US" w:eastAsia="zh-CN"/>
        </w:rPr>
      </w:pPr>
      <w:r>
        <w:rPr>
          <w:rFonts w:hint="eastAsia" w:asciiTheme="minorEastAsia" w:hAnsiTheme="minorEastAsia" w:eastAsiaTheme="minorEastAsia"/>
          <w:b w:val="0"/>
          <w:bCs w:val="0"/>
          <w:sz w:val="24"/>
          <w:szCs w:val="24"/>
          <w:u w:val="none"/>
        </w:rPr>
        <w:t>联系人：</w:t>
      </w:r>
      <w:r>
        <w:rPr>
          <w:rFonts w:hint="eastAsia" w:asciiTheme="minorEastAsia" w:hAnsiTheme="minorEastAsia" w:eastAsiaTheme="minorEastAsia"/>
          <w:b w:val="0"/>
          <w:bCs w:val="0"/>
          <w:sz w:val="24"/>
          <w:szCs w:val="24"/>
          <w:u w:val="single"/>
          <w:lang w:val="en-US" w:eastAsia="zh-CN"/>
        </w:rPr>
        <w:t xml:space="preserve">     </w:t>
      </w:r>
      <w:r>
        <w:rPr>
          <w:rFonts w:hint="eastAsia" w:ascii="宋体" w:hAnsi="宋体" w:cs="宋体"/>
          <w:b w:val="0"/>
          <w:bCs w:val="0"/>
          <w:sz w:val="24"/>
          <w:szCs w:val="24"/>
          <w:u w:val="single"/>
          <w:lang w:val="en-US" w:eastAsia="zh-CN"/>
        </w:rPr>
        <w:t xml:space="preserve">       </w:t>
      </w:r>
      <w:r>
        <w:rPr>
          <w:rFonts w:hint="eastAsia" w:ascii="宋体" w:hAnsi="宋体" w:cs="宋体"/>
          <w:b w:val="0"/>
          <w:bCs w:val="0"/>
          <w:sz w:val="24"/>
          <w:szCs w:val="24"/>
          <w:u w:val="single"/>
        </w:rPr>
        <w:t>康保山</w:t>
      </w:r>
      <w:r>
        <w:rPr>
          <w:rFonts w:hint="eastAsia" w:ascii="宋体" w:hAnsi="宋体" w:cs="宋体"/>
          <w:b w:val="0"/>
          <w:bCs w:val="0"/>
          <w:sz w:val="24"/>
          <w:szCs w:val="24"/>
          <w:u w:val="single"/>
          <w:lang w:val="en-US" w:eastAsia="zh-CN"/>
        </w:rPr>
        <w:t xml:space="preserve">              </w:t>
      </w:r>
    </w:p>
    <w:p>
      <w:pPr>
        <w:pageBreakBefore w:val="0"/>
        <w:widowControl w:val="0"/>
        <w:kinsoku/>
        <w:wordWrap/>
        <w:overflowPunct/>
        <w:topLinePunct w:val="0"/>
        <w:bidi w:val="0"/>
        <w:snapToGrid/>
        <w:spacing w:line="360" w:lineRule="auto"/>
        <w:ind w:left="1079" w:leftChars="371" w:hanging="300" w:hangingChars="125"/>
        <w:jc w:val="left"/>
        <w:textAlignment w:val="auto"/>
        <w:rPr>
          <w:rFonts w:hint="default" w:eastAsia="宋体" w:asciiTheme="minorEastAsia" w:hAnsiTheme="minorEastAsia"/>
          <w:b w:val="0"/>
          <w:bCs w:val="0"/>
          <w:sz w:val="24"/>
          <w:szCs w:val="24"/>
          <w:u w:val="none"/>
          <w:lang w:val="en-US" w:eastAsia="zh-CN"/>
        </w:rPr>
      </w:pPr>
      <w:r>
        <w:rPr>
          <w:rFonts w:hint="eastAsia" w:asciiTheme="minorEastAsia" w:hAnsiTheme="minorEastAsia" w:eastAsiaTheme="minorEastAsia"/>
          <w:b w:val="0"/>
          <w:bCs w:val="0"/>
          <w:sz w:val="24"/>
          <w:szCs w:val="24"/>
          <w:u w:val="none"/>
        </w:rPr>
        <w:t>联系电话：</w:t>
      </w:r>
      <w:bookmarkStart w:id="37" w:name="_Toc28359020"/>
      <w:bookmarkStart w:id="38" w:name="_Toc28359097"/>
      <w:bookmarkStart w:id="39" w:name="_Toc35393638"/>
      <w:bookmarkStart w:id="40" w:name="_Toc35393807"/>
      <w:r>
        <w:rPr>
          <w:rFonts w:hint="eastAsia" w:asciiTheme="minorEastAsia" w:hAnsiTheme="minorEastAsia" w:eastAsiaTheme="minorEastAsia"/>
          <w:b w:val="0"/>
          <w:bCs w:val="0"/>
          <w:sz w:val="24"/>
          <w:szCs w:val="24"/>
          <w:u w:val="single"/>
          <w:lang w:val="en-US" w:eastAsia="zh-CN"/>
        </w:rPr>
        <w:t xml:space="preserve">   </w:t>
      </w:r>
      <w:r>
        <w:rPr>
          <w:rFonts w:hint="eastAsia" w:ascii="宋体" w:hAnsi="宋体" w:cs="宋体"/>
          <w:b w:val="0"/>
          <w:bCs w:val="0"/>
          <w:sz w:val="24"/>
          <w:szCs w:val="24"/>
          <w:u w:val="single"/>
        </w:rPr>
        <w:t>18951558966</w:t>
      </w:r>
      <w:r>
        <w:rPr>
          <w:rFonts w:hint="eastAsia" w:ascii="宋体" w:hAnsi="宋体" w:cs="宋体"/>
          <w:b w:val="0"/>
          <w:bCs w:val="0"/>
          <w:sz w:val="24"/>
          <w:szCs w:val="24"/>
          <w:u w:val="single"/>
          <w:lang w:val="en-US" w:eastAsia="zh-CN"/>
        </w:rPr>
        <w:t xml:space="preserve">               </w:t>
      </w:r>
    </w:p>
    <w:bookmarkEnd w:id="37"/>
    <w:bookmarkEnd w:id="38"/>
    <w:bookmarkEnd w:id="39"/>
    <w:bookmarkEnd w:id="40"/>
    <w:p>
      <w:pPr>
        <w:pStyle w:val="7"/>
        <w:pageBreakBefore w:val="0"/>
        <w:widowControl w:val="0"/>
        <w:kinsoku/>
        <w:wordWrap/>
        <w:overflowPunct/>
        <w:topLinePunct w:val="0"/>
        <w:bidi w:val="0"/>
        <w:snapToGrid/>
        <w:spacing w:line="360" w:lineRule="auto"/>
        <w:jc w:val="both"/>
        <w:textAlignment w:val="auto"/>
        <w:rPr>
          <w:rFonts w:hint="eastAsia" w:ascii="宋体" w:hAnsi="宋体" w:eastAsia="宋体" w:cs="宋体"/>
          <w:b w:val="0"/>
          <w:sz w:val="24"/>
          <w:szCs w:val="24"/>
        </w:rPr>
      </w:pPr>
      <w:r>
        <w:rPr>
          <w:rFonts w:hint="eastAsia" w:ascii="宋体" w:hAnsi="宋体" w:eastAsia="宋体" w:cs="宋体"/>
          <w:b w:val="0"/>
          <w:sz w:val="24"/>
          <w:szCs w:val="24"/>
        </w:rPr>
        <w:t>2.采购代理机构信息</w:t>
      </w:r>
    </w:p>
    <w:p>
      <w:pPr>
        <w:pageBreakBefore w:val="0"/>
        <w:widowControl w:val="0"/>
        <w:kinsoku/>
        <w:wordWrap/>
        <w:overflowPunct/>
        <w:topLinePunct w:val="0"/>
        <w:bidi w:val="0"/>
        <w:snapToGrid/>
        <w:spacing w:line="360" w:lineRule="auto"/>
        <w:ind w:firstLine="720" w:firstLineChars="300"/>
        <w:textAlignment w:val="auto"/>
        <w:rPr>
          <w:rFonts w:hint="eastAsia" w:ascii="宋体" w:hAnsi="宋体" w:eastAsia="宋体" w:cs="宋体"/>
          <w:sz w:val="24"/>
          <w:szCs w:val="24"/>
        </w:rPr>
      </w:pPr>
      <w:r>
        <w:rPr>
          <w:rFonts w:hint="eastAsia" w:ascii="宋体" w:hAnsi="宋体" w:eastAsia="宋体" w:cs="宋体"/>
          <w:sz w:val="24"/>
          <w:szCs w:val="24"/>
        </w:rPr>
        <w:t>名    称：</w:t>
      </w:r>
      <w:r>
        <w:rPr>
          <w:rFonts w:hint="eastAsia" w:ascii="宋体" w:hAnsi="宋体" w:eastAsia="宋体" w:cs="宋体"/>
          <w:sz w:val="24"/>
          <w:szCs w:val="24"/>
          <w:u w:val="single"/>
        </w:rPr>
        <w:t>江苏智汇锡建工程项目管理有限公司</w:t>
      </w:r>
    </w:p>
    <w:p>
      <w:pPr>
        <w:pageBreakBefore w:val="0"/>
        <w:widowControl w:val="0"/>
        <w:kinsoku/>
        <w:wordWrap/>
        <w:overflowPunct/>
        <w:topLinePunct w:val="0"/>
        <w:bidi w:val="0"/>
        <w:snapToGrid/>
        <w:spacing w:line="360" w:lineRule="auto"/>
        <w:ind w:firstLine="720" w:firstLineChars="300"/>
        <w:textAlignment w:val="auto"/>
        <w:rPr>
          <w:rFonts w:hint="eastAsia" w:ascii="宋体" w:hAnsi="宋体" w:eastAsia="宋体" w:cs="宋体"/>
          <w:sz w:val="24"/>
          <w:szCs w:val="24"/>
        </w:rPr>
      </w:pPr>
      <w:r>
        <w:rPr>
          <w:rFonts w:hint="eastAsia" w:ascii="宋体" w:hAnsi="宋体" w:eastAsia="宋体" w:cs="宋体"/>
          <w:sz w:val="24"/>
          <w:szCs w:val="24"/>
        </w:rPr>
        <w:t>地　　址：</w:t>
      </w:r>
      <w:r>
        <w:rPr>
          <w:rFonts w:hint="eastAsia" w:ascii="宋体" w:hAnsi="宋体" w:eastAsia="宋体" w:cs="宋体"/>
          <w:sz w:val="24"/>
          <w:szCs w:val="24"/>
          <w:u w:val="single"/>
        </w:rPr>
        <w:t>盐城市盐都区瞰都公馆10号楼10楼</w:t>
      </w:r>
    </w:p>
    <w:p>
      <w:pPr>
        <w:pageBreakBefore w:val="0"/>
        <w:widowControl w:val="0"/>
        <w:kinsoku/>
        <w:wordWrap/>
        <w:overflowPunct/>
        <w:topLinePunct w:val="0"/>
        <w:bidi w:val="0"/>
        <w:snapToGrid/>
        <w:spacing w:line="360" w:lineRule="auto"/>
        <w:ind w:firstLine="720" w:firstLineChars="3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联系人：  </w:t>
      </w:r>
      <w:r>
        <w:rPr>
          <w:rFonts w:hint="eastAsia" w:ascii="宋体" w:hAnsi="宋体" w:eastAsia="宋体" w:cs="宋体"/>
          <w:sz w:val="24"/>
          <w:szCs w:val="24"/>
          <w:u w:val="single"/>
        </w:rPr>
        <w:t xml:space="preserve">       王虹              </w:t>
      </w:r>
      <w:r>
        <w:rPr>
          <w:rFonts w:hint="eastAsia" w:ascii="宋体" w:hAnsi="宋体" w:eastAsia="宋体" w:cs="宋体"/>
          <w:sz w:val="24"/>
          <w:szCs w:val="24"/>
        </w:rPr>
        <w:t xml:space="preserve">              </w:t>
      </w:r>
    </w:p>
    <w:p>
      <w:pPr>
        <w:pageBreakBefore w:val="0"/>
        <w:widowControl w:val="0"/>
        <w:kinsoku/>
        <w:wordWrap/>
        <w:overflowPunct/>
        <w:topLinePunct w:val="0"/>
        <w:bidi w:val="0"/>
        <w:snapToGrid/>
        <w:spacing w:line="360" w:lineRule="auto"/>
        <w:ind w:firstLine="720" w:firstLineChars="300"/>
        <w:jc w:val="left"/>
        <w:textAlignment w:val="auto"/>
        <w:rPr>
          <w:rFonts w:hint="eastAsia" w:ascii="宋体" w:hAnsi="宋体" w:eastAsia="宋体" w:cs="宋体"/>
          <w:sz w:val="24"/>
          <w:szCs w:val="24"/>
          <w:u w:val="single"/>
        </w:rPr>
      </w:pPr>
      <w:r>
        <w:rPr>
          <w:rFonts w:hint="eastAsia" w:ascii="宋体" w:hAnsi="宋体" w:eastAsia="宋体" w:cs="宋体"/>
          <w:sz w:val="24"/>
          <w:szCs w:val="24"/>
        </w:rPr>
        <w:t>联系电话：</w:t>
      </w:r>
      <w:r>
        <w:rPr>
          <w:rFonts w:hint="eastAsia" w:ascii="宋体" w:hAnsi="宋体" w:eastAsia="宋体" w:cs="宋体"/>
          <w:sz w:val="24"/>
          <w:szCs w:val="24"/>
          <w:u w:val="single"/>
        </w:rPr>
        <w:t>　　　15851041231  　 　　</w:t>
      </w:r>
    </w:p>
    <w:p>
      <w:pPr>
        <w:pStyle w:val="9"/>
        <w:pageBreakBefore w:val="0"/>
        <w:widowControl w:val="0"/>
        <w:kinsoku/>
        <w:wordWrap/>
        <w:overflowPunct/>
        <w:topLinePunct w:val="0"/>
        <w:bidi w:val="0"/>
        <w:snapToGrid/>
        <w:spacing w:line="360" w:lineRule="auto"/>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3</w:t>
      </w:r>
      <w:r>
        <w:rPr>
          <w:rFonts w:hint="eastAsia" w:ascii="宋体" w:hAnsi="宋体" w:cs="宋体"/>
          <w:b w:val="0"/>
          <w:bCs/>
          <w:kern w:val="2"/>
          <w:sz w:val="24"/>
          <w:szCs w:val="24"/>
          <w:lang w:val="en-US" w:eastAsia="zh-CN" w:bidi="ar-SA"/>
        </w:rPr>
        <w:t>.</w:t>
      </w:r>
      <w:r>
        <w:rPr>
          <w:rFonts w:hint="eastAsia" w:ascii="宋体" w:hAnsi="宋体" w:eastAsia="宋体" w:cs="宋体"/>
          <w:b w:val="0"/>
          <w:bCs/>
          <w:kern w:val="2"/>
          <w:sz w:val="24"/>
          <w:szCs w:val="24"/>
          <w:lang w:val="en-US" w:eastAsia="zh-CN" w:bidi="ar-SA"/>
        </w:rPr>
        <w:t>联系方式：</w:t>
      </w:r>
    </w:p>
    <w:p>
      <w:pPr>
        <w:pageBreakBefore w:val="0"/>
        <w:widowControl w:val="0"/>
        <w:kinsoku/>
        <w:wordWrap/>
        <w:overflowPunct/>
        <w:topLinePunct w:val="0"/>
        <w:autoSpaceDE/>
        <w:autoSpaceDN/>
        <w:bidi w:val="0"/>
        <w:adjustRightInd/>
        <w:snapToGrid/>
        <w:spacing w:line="360" w:lineRule="auto"/>
        <w:ind w:firstLine="720" w:firstLineChars="300"/>
        <w:textAlignment w:val="auto"/>
        <w:rPr>
          <w:rFonts w:hint="default" w:ascii="宋体" w:hAnsi="宋体" w:eastAsia="宋体" w:cs="宋体"/>
          <w:sz w:val="24"/>
          <w:szCs w:val="24"/>
          <w:u w:val="single"/>
          <w:lang w:val="en-US" w:eastAsia="zh-CN"/>
        </w:rPr>
      </w:pPr>
      <w:r>
        <w:rPr>
          <w:rFonts w:hint="eastAsia" w:ascii="宋体" w:hAnsi="宋体" w:cs="宋体"/>
          <w:sz w:val="24"/>
          <w:szCs w:val="24"/>
          <w:u w:val="none"/>
          <w:lang w:val="en-US" w:eastAsia="zh-CN"/>
        </w:rPr>
        <w:t>项目联系人：</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康保山</w:t>
      </w:r>
      <w:r>
        <w:rPr>
          <w:rFonts w:hint="eastAsia" w:ascii="宋体" w:hAnsi="宋体" w:cs="宋体"/>
          <w:sz w:val="24"/>
          <w:szCs w:val="24"/>
          <w:u w:val="single"/>
          <w:lang w:val="en-US" w:eastAsia="zh-CN"/>
        </w:rPr>
        <w:t xml:space="preserve">    </w:t>
      </w:r>
    </w:p>
    <w:p>
      <w:pPr>
        <w:pStyle w:val="9"/>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cs="宋体"/>
          <w:b w:val="0"/>
          <w:bCs w:val="0"/>
          <w:kern w:val="2"/>
          <w:sz w:val="24"/>
          <w:szCs w:val="24"/>
          <w:u w:val="single"/>
          <w:lang w:val="en-US" w:eastAsia="zh-CN" w:bidi="ar-SA"/>
        </w:rPr>
      </w:pPr>
      <w:r>
        <w:rPr>
          <w:rFonts w:hint="eastAsia" w:ascii="宋体" w:hAnsi="宋体" w:eastAsia="宋体" w:cs="宋体"/>
          <w:b w:val="0"/>
          <w:bCs w:val="0"/>
          <w:kern w:val="2"/>
          <w:sz w:val="24"/>
          <w:szCs w:val="24"/>
          <w:u w:val="none"/>
          <w:lang w:val="en-US" w:eastAsia="zh-CN" w:bidi="ar-SA"/>
        </w:rPr>
        <w:t>电话：</w:t>
      </w:r>
      <w:r>
        <w:rPr>
          <w:rFonts w:hint="eastAsia" w:ascii="宋体" w:hAnsi="宋体" w:cs="宋体"/>
          <w:b w:val="0"/>
          <w:bCs w:val="0"/>
          <w:kern w:val="2"/>
          <w:sz w:val="24"/>
          <w:szCs w:val="24"/>
          <w:u w:val="single"/>
          <w:lang w:val="en-US" w:eastAsia="zh-CN" w:bidi="ar-SA"/>
        </w:rPr>
        <w:t xml:space="preserve">    </w:t>
      </w:r>
      <w:r>
        <w:rPr>
          <w:rFonts w:hint="eastAsia" w:ascii="宋体" w:hAnsi="宋体" w:eastAsia="宋体" w:cs="宋体"/>
          <w:b w:val="0"/>
          <w:bCs w:val="0"/>
          <w:kern w:val="2"/>
          <w:sz w:val="24"/>
          <w:szCs w:val="24"/>
          <w:u w:val="single"/>
          <w:lang w:val="en-US" w:eastAsia="zh-CN" w:bidi="ar-SA"/>
        </w:rPr>
        <w:t>18951558966</w:t>
      </w:r>
      <w:r>
        <w:rPr>
          <w:rFonts w:hint="eastAsia" w:ascii="宋体" w:hAnsi="宋体" w:cs="宋体"/>
          <w:b w:val="0"/>
          <w:bCs w:val="0"/>
          <w:kern w:val="2"/>
          <w:sz w:val="24"/>
          <w:szCs w:val="24"/>
          <w:u w:val="single"/>
          <w:lang w:val="en-US" w:eastAsia="zh-CN" w:bidi="ar-SA"/>
        </w:rPr>
        <w:t xml:space="preserve">      </w:t>
      </w:r>
    </w:p>
    <w:p>
      <w:pPr>
        <w:rPr>
          <w:rFonts w:hint="eastAsia"/>
          <w:lang w:val="en-US" w:eastAsia="zh-CN"/>
        </w:rPr>
      </w:pPr>
    </w:p>
    <w:p>
      <w:pPr>
        <w:pStyle w:val="7"/>
        <w:spacing w:line="500" w:lineRule="exact"/>
        <w:rPr>
          <w:rFonts w:ascii="宋体" w:hAnsi="宋体" w:eastAsia="宋体"/>
          <w:b w:val="0"/>
          <w:bCs w:val="0"/>
        </w:rPr>
      </w:pPr>
      <w:r>
        <w:rPr>
          <w:rFonts w:hint="eastAsia" w:ascii="宋体" w:hAnsi="宋体" w:eastAsia="宋体"/>
        </w:rPr>
        <w:t>第二章</w:t>
      </w:r>
      <w:bookmarkEnd w:id="1"/>
      <w:bookmarkEnd w:id="2"/>
      <w:bookmarkEnd w:id="3"/>
      <w:bookmarkEnd w:id="4"/>
      <w:bookmarkEnd w:id="5"/>
      <w:bookmarkEnd w:id="36"/>
      <w:bookmarkStart w:id="41" w:name="_Toc16938518"/>
      <w:bookmarkStart w:id="42" w:name="_Toc20823274"/>
      <w:bookmarkStart w:id="43" w:name="_Toc513029202"/>
      <w:bookmarkStart w:id="44" w:name="_Toc120614213"/>
      <w:r>
        <w:rPr>
          <w:rFonts w:hint="eastAsia" w:ascii="宋体" w:hAnsi="宋体" w:eastAsia="宋体"/>
        </w:rPr>
        <w:t xml:space="preserve">  投标人须知</w:t>
      </w:r>
      <w:bookmarkEnd w:id="41"/>
      <w:bookmarkEnd w:id="42"/>
      <w:bookmarkEnd w:id="43"/>
      <w:bookmarkEnd w:id="44"/>
    </w:p>
    <w:p>
      <w:pPr>
        <w:pStyle w:val="9"/>
        <w:spacing w:beforeLines="50" w:afterLines="50" w:line="500" w:lineRule="exact"/>
        <w:ind w:firstLine="373" w:firstLineChars="155"/>
        <w:rPr>
          <w:rFonts w:ascii="宋体"/>
          <w:sz w:val="24"/>
          <w:szCs w:val="24"/>
        </w:rPr>
      </w:pPr>
      <w:bookmarkStart w:id="45" w:name="_Toc120614214"/>
      <w:bookmarkStart w:id="46" w:name="_Toc20823275"/>
      <w:bookmarkStart w:id="47" w:name="_Toc513029203"/>
      <w:bookmarkStart w:id="48" w:name="_Toc16938519"/>
      <w:bookmarkStart w:id="49" w:name="_Toc120614221"/>
      <w:bookmarkStart w:id="50" w:name="_Toc513029242"/>
      <w:bookmarkStart w:id="51" w:name="_Toc20823314"/>
      <w:bookmarkStart w:id="52" w:name="_Toc479757207"/>
      <w:bookmarkStart w:id="53" w:name="_Toc16938558"/>
      <w:r>
        <w:rPr>
          <w:rFonts w:hint="eastAsia" w:ascii="宋体" w:hAnsi="宋体"/>
          <w:sz w:val="24"/>
          <w:szCs w:val="24"/>
        </w:rPr>
        <w:t>一、总则</w:t>
      </w:r>
      <w:bookmarkEnd w:id="45"/>
      <w:bookmarkEnd w:id="46"/>
      <w:bookmarkEnd w:id="47"/>
      <w:bookmarkEnd w:id="48"/>
    </w:p>
    <w:p>
      <w:pPr>
        <w:pStyle w:val="10"/>
        <w:spacing w:before="0" w:after="0" w:line="500" w:lineRule="exact"/>
        <w:ind w:firstLine="361" w:firstLineChars="150"/>
        <w:rPr>
          <w:rFonts w:ascii="宋体" w:hAnsi="宋体" w:eastAsia="宋体"/>
          <w:sz w:val="24"/>
          <w:szCs w:val="24"/>
        </w:rPr>
      </w:pPr>
      <w:bookmarkStart w:id="54" w:name="_Toc458694821"/>
      <w:bookmarkStart w:id="55" w:name="_Toc513029204"/>
      <w:bookmarkStart w:id="56" w:name="_Toc16938520"/>
      <w:bookmarkStart w:id="57" w:name="_Toc20823276"/>
      <w:r>
        <w:rPr>
          <w:rFonts w:ascii="宋体" w:hAnsi="宋体" w:eastAsia="宋体"/>
          <w:sz w:val="24"/>
          <w:szCs w:val="24"/>
        </w:rPr>
        <w:t>1</w:t>
      </w:r>
      <w:bookmarkEnd w:id="54"/>
      <w:r>
        <w:rPr>
          <w:rFonts w:hint="eastAsia" w:ascii="宋体" w:hAnsi="宋体" w:eastAsia="宋体"/>
          <w:sz w:val="24"/>
          <w:szCs w:val="24"/>
        </w:rPr>
        <w:t>、招标方式</w:t>
      </w:r>
      <w:bookmarkEnd w:id="55"/>
      <w:bookmarkEnd w:id="56"/>
      <w:bookmarkEnd w:id="57"/>
    </w:p>
    <w:p>
      <w:pPr>
        <w:spacing w:line="500" w:lineRule="exact"/>
        <w:ind w:firstLine="480" w:firstLineChars="200"/>
        <w:rPr>
          <w:rFonts w:ascii="宋体"/>
          <w:sz w:val="24"/>
          <w:szCs w:val="24"/>
        </w:rPr>
      </w:pPr>
      <w:r>
        <w:rPr>
          <w:rFonts w:ascii="宋体" w:hAnsi="宋体"/>
          <w:sz w:val="24"/>
          <w:szCs w:val="24"/>
        </w:rPr>
        <w:t xml:space="preserve">1.1 </w:t>
      </w:r>
      <w:r>
        <w:rPr>
          <w:rFonts w:hint="eastAsia" w:ascii="宋体" w:hAnsi="宋体"/>
          <w:sz w:val="24"/>
          <w:szCs w:val="24"/>
        </w:rPr>
        <w:t>本次招标采取公开招标方式，本招标文件仅适用于招标公告中所述项目。</w:t>
      </w:r>
    </w:p>
    <w:p>
      <w:pPr>
        <w:pStyle w:val="10"/>
        <w:spacing w:before="0" w:after="0" w:line="500" w:lineRule="exact"/>
        <w:ind w:firstLine="361" w:firstLineChars="150"/>
        <w:rPr>
          <w:rFonts w:ascii="宋体" w:hAnsi="宋体" w:eastAsia="宋体"/>
          <w:sz w:val="24"/>
          <w:szCs w:val="24"/>
        </w:rPr>
      </w:pPr>
      <w:bookmarkStart w:id="58" w:name="_Toc513029205"/>
      <w:bookmarkStart w:id="59" w:name="_Toc16938521"/>
      <w:bookmarkStart w:id="60" w:name="_Toc20823277"/>
      <w:r>
        <w:rPr>
          <w:rFonts w:ascii="宋体" w:hAnsi="宋体" w:eastAsia="宋体"/>
          <w:sz w:val="24"/>
          <w:szCs w:val="24"/>
        </w:rPr>
        <w:t>2</w:t>
      </w:r>
      <w:r>
        <w:rPr>
          <w:rFonts w:hint="eastAsia" w:ascii="宋体" w:hAnsi="宋体" w:eastAsia="宋体"/>
          <w:sz w:val="24"/>
          <w:szCs w:val="24"/>
        </w:rPr>
        <w:t>、合格的投标人</w:t>
      </w:r>
      <w:bookmarkEnd w:id="58"/>
      <w:bookmarkEnd w:id="59"/>
      <w:bookmarkEnd w:id="60"/>
    </w:p>
    <w:p>
      <w:pPr>
        <w:spacing w:line="500" w:lineRule="exact"/>
        <w:ind w:firstLine="480" w:firstLineChars="200"/>
        <w:rPr>
          <w:rFonts w:ascii="宋体"/>
          <w:sz w:val="24"/>
          <w:szCs w:val="24"/>
        </w:rPr>
      </w:pPr>
      <w:r>
        <w:rPr>
          <w:rFonts w:ascii="宋体" w:hAnsi="宋体"/>
          <w:sz w:val="24"/>
          <w:szCs w:val="24"/>
        </w:rPr>
        <w:t xml:space="preserve">2.1 </w:t>
      </w:r>
      <w:r>
        <w:rPr>
          <w:rFonts w:hint="eastAsia" w:ascii="宋体" w:hAnsi="宋体"/>
          <w:sz w:val="24"/>
          <w:szCs w:val="24"/>
        </w:rPr>
        <w:t>满足招标公告中投标人的资格要求的规定。</w:t>
      </w:r>
    </w:p>
    <w:p>
      <w:pPr>
        <w:spacing w:line="500" w:lineRule="exact"/>
        <w:ind w:firstLine="480" w:firstLineChars="200"/>
        <w:rPr>
          <w:rFonts w:ascii="宋体"/>
          <w:sz w:val="24"/>
          <w:szCs w:val="24"/>
        </w:rPr>
      </w:pPr>
      <w:r>
        <w:rPr>
          <w:rFonts w:ascii="宋体" w:hAnsi="宋体"/>
          <w:sz w:val="24"/>
          <w:szCs w:val="24"/>
        </w:rPr>
        <w:t xml:space="preserve">2.2 </w:t>
      </w:r>
      <w:r>
        <w:rPr>
          <w:rFonts w:hint="eastAsia" w:ascii="宋体" w:hAnsi="宋体"/>
          <w:sz w:val="24"/>
          <w:szCs w:val="24"/>
        </w:rPr>
        <w:t>满足本文件实质性条款的规定。</w:t>
      </w:r>
    </w:p>
    <w:p>
      <w:pPr>
        <w:pStyle w:val="10"/>
        <w:spacing w:before="0" w:after="0" w:line="500" w:lineRule="exact"/>
        <w:ind w:firstLine="361" w:firstLineChars="150"/>
        <w:rPr>
          <w:rFonts w:ascii="宋体" w:hAnsi="宋体" w:eastAsia="宋体"/>
          <w:sz w:val="24"/>
          <w:szCs w:val="24"/>
        </w:rPr>
      </w:pPr>
      <w:bookmarkStart w:id="61" w:name="_Toc16938522"/>
      <w:bookmarkStart w:id="62" w:name="_Toc20823278"/>
      <w:bookmarkStart w:id="63" w:name="_Toc513029206"/>
      <w:r>
        <w:rPr>
          <w:rFonts w:ascii="宋体" w:hAnsi="宋体" w:eastAsia="宋体"/>
          <w:sz w:val="24"/>
          <w:szCs w:val="24"/>
        </w:rPr>
        <w:t>3</w:t>
      </w:r>
      <w:r>
        <w:rPr>
          <w:rFonts w:hint="eastAsia" w:ascii="宋体" w:hAnsi="宋体" w:eastAsia="宋体"/>
          <w:sz w:val="24"/>
          <w:szCs w:val="24"/>
        </w:rPr>
        <w:t>、适用法律</w:t>
      </w:r>
      <w:bookmarkEnd w:id="61"/>
      <w:bookmarkEnd w:id="62"/>
      <w:bookmarkEnd w:id="63"/>
    </w:p>
    <w:p>
      <w:pPr>
        <w:spacing w:line="500" w:lineRule="exact"/>
        <w:ind w:firstLine="420" w:firstLineChars="175"/>
        <w:rPr>
          <w:rFonts w:ascii="宋体"/>
          <w:sz w:val="24"/>
          <w:szCs w:val="24"/>
        </w:rPr>
      </w:pPr>
      <w:r>
        <w:rPr>
          <w:rFonts w:ascii="宋体" w:hAnsi="宋体"/>
          <w:sz w:val="24"/>
          <w:szCs w:val="24"/>
        </w:rPr>
        <w:t xml:space="preserve">3.1 </w:t>
      </w:r>
      <w:r>
        <w:rPr>
          <w:rFonts w:hint="eastAsia" w:ascii="宋体" w:hAnsi="宋体"/>
          <w:sz w:val="24"/>
          <w:szCs w:val="24"/>
        </w:rPr>
        <w:t>本次招标及由此产生的合同受中华人民共和国有关的法律法规制约和保护。</w:t>
      </w:r>
    </w:p>
    <w:p>
      <w:pPr>
        <w:pStyle w:val="10"/>
        <w:spacing w:before="0" w:after="0" w:line="500" w:lineRule="exact"/>
        <w:ind w:firstLine="361" w:firstLineChars="150"/>
        <w:rPr>
          <w:rFonts w:ascii="宋体" w:hAnsi="宋体" w:eastAsia="宋体"/>
          <w:sz w:val="24"/>
          <w:szCs w:val="24"/>
        </w:rPr>
      </w:pPr>
      <w:bookmarkStart w:id="64" w:name="_Toc462564067"/>
      <w:bookmarkStart w:id="65" w:name="_Toc16938523"/>
      <w:bookmarkStart w:id="66" w:name="_Toc20823279"/>
      <w:bookmarkStart w:id="67" w:name="_Toc513029207"/>
      <w:r>
        <w:rPr>
          <w:rFonts w:ascii="宋体" w:hAnsi="宋体" w:eastAsia="宋体"/>
          <w:sz w:val="24"/>
          <w:szCs w:val="24"/>
        </w:rPr>
        <w:t>4</w:t>
      </w:r>
      <w:r>
        <w:rPr>
          <w:rFonts w:hint="eastAsia" w:ascii="宋体" w:hAnsi="宋体" w:eastAsia="宋体"/>
          <w:sz w:val="24"/>
          <w:szCs w:val="24"/>
        </w:rPr>
        <w:t>、投标费用</w:t>
      </w:r>
      <w:bookmarkEnd w:id="64"/>
      <w:bookmarkEnd w:id="65"/>
      <w:bookmarkEnd w:id="66"/>
      <w:bookmarkEnd w:id="67"/>
    </w:p>
    <w:p>
      <w:pPr>
        <w:spacing w:line="500" w:lineRule="exact"/>
        <w:ind w:firstLine="480" w:firstLineChars="200"/>
        <w:rPr>
          <w:rFonts w:ascii="宋体"/>
          <w:sz w:val="24"/>
          <w:szCs w:val="24"/>
        </w:rPr>
      </w:pPr>
      <w:r>
        <w:rPr>
          <w:rFonts w:ascii="宋体" w:hAnsi="宋体"/>
          <w:bCs/>
          <w:sz w:val="24"/>
          <w:szCs w:val="24"/>
        </w:rPr>
        <w:t>4.1</w:t>
      </w:r>
      <w:r>
        <w:rPr>
          <w:rFonts w:hint="eastAsia" w:ascii="宋体" w:hAnsi="宋体"/>
          <w:sz w:val="24"/>
          <w:szCs w:val="24"/>
        </w:rPr>
        <w:t>投标人应自行承担所有与参加投标有关的费用，无论投标过程中的做法和结果如何，采购人在任何情况下均无义务和责任承担上述费用。</w:t>
      </w:r>
    </w:p>
    <w:p>
      <w:pPr>
        <w:spacing w:line="500" w:lineRule="exact"/>
        <w:ind w:firstLine="480" w:firstLineChars="200"/>
        <w:rPr>
          <w:rFonts w:ascii="宋体"/>
          <w:sz w:val="24"/>
          <w:szCs w:val="24"/>
        </w:rPr>
      </w:pPr>
      <w:r>
        <w:rPr>
          <w:rFonts w:ascii="宋体" w:hAnsi="宋体"/>
          <w:sz w:val="24"/>
          <w:szCs w:val="24"/>
        </w:rPr>
        <w:t>4.2</w:t>
      </w:r>
      <w:r>
        <w:rPr>
          <w:rFonts w:hint="eastAsia" w:ascii="宋体" w:hAnsi="宋体"/>
          <w:sz w:val="24"/>
          <w:szCs w:val="24"/>
        </w:rPr>
        <w:t>本次招标盐城市盐都区公共资源交易中心和采购人不收取中标服务费。</w:t>
      </w:r>
    </w:p>
    <w:p>
      <w:pPr>
        <w:pStyle w:val="10"/>
        <w:spacing w:before="0" w:after="0" w:line="500" w:lineRule="exact"/>
        <w:ind w:firstLine="482" w:firstLineChars="200"/>
        <w:rPr>
          <w:rFonts w:ascii="宋体" w:hAnsi="宋体" w:eastAsia="宋体"/>
          <w:sz w:val="24"/>
          <w:szCs w:val="24"/>
        </w:rPr>
      </w:pPr>
      <w:r>
        <w:rPr>
          <w:rFonts w:ascii="宋体" w:hAnsi="宋体" w:eastAsia="宋体" w:cs="Times New Roman"/>
          <w:sz w:val="24"/>
          <w:szCs w:val="24"/>
        </w:rPr>
        <w:t>5</w:t>
      </w:r>
      <w:r>
        <w:rPr>
          <w:rFonts w:hint="eastAsia" w:ascii="宋体" w:hAnsi="宋体" w:eastAsia="宋体" w:cs="Times New Roman"/>
          <w:sz w:val="24"/>
          <w:szCs w:val="24"/>
        </w:rPr>
        <w:t>、招</w:t>
      </w:r>
      <w:r>
        <w:rPr>
          <w:rFonts w:hint="eastAsia" w:ascii="宋体" w:hAnsi="宋体" w:eastAsia="宋体"/>
          <w:sz w:val="24"/>
          <w:szCs w:val="24"/>
        </w:rPr>
        <w:t>标文件的约束力</w:t>
      </w:r>
    </w:p>
    <w:p>
      <w:pPr>
        <w:spacing w:line="500" w:lineRule="exact"/>
        <w:ind w:firstLine="480" w:firstLineChars="200"/>
        <w:rPr>
          <w:rFonts w:ascii="宋体"/>
          <w:sz w:val="24"/>
          <w:szCs w:val="24"/>
        </w:rPr>
      </w:pPr>
      <w:r>
        <w:rPr>
          <w:rFonts w:ascii="宋体" w:hAnsi="宋体"/>
          <w:bCs/>
          <w:sz w:val="24"/>
          <w:szCs w:val="24"/>
        </w:rPr>
        <w:t>5.1</w:t>
      </w:r>
      <w:r>
        <w:rPr>
          <w:rFonts w:hint="eastAsia" w:ascii="宋体" w:hAnsi="宋体"/>
          <w:sz w:val="24"/>
          <w:szCs w:val="24"/>
        </w:rPr>
        <w:t>投标人一旦参加本项目采购活动，即被认为接受了本招标文件的规定和约束，并且视为自招标公告期限届满之日起知道或应当知道自身权益是否受到了损害。</w:t>
      </w:r>
    </w:p>
    <w:p>
      <w:pPr>
        <w:pStyle w:val="10"/>
        <w:spacing w:before="0" w:after="0" w:line="500" w:lineRule="exact"/>
        <w:ind w:firstLine="482" w:firstLineChars="200"/>
        <w:rPr>
          <w:rFonts w:ascii="宋体" w:hAnsi="宋体" w:eastAsia="宋体"/>
          <w:sz w:val="24"/>
          <w:szCs w:val="24"/>
        </w:rPr>
      </w:pPr>
      <w:r>
        <w:rPr>
          <w:rFonts w:ascii="宋体" w:hAnsi="宋体" w:eastAsia="宋体"/>
          <w:sz w:val="24"/>
          <w:szCs w:val="24"/>
        </w:rPr>
        <w:t>6</w:t>
      </w:r>
      <w:r>
        <w:rPr>
          <w:rFonts w:hint="eastAsia" w:ascii="宋体" w:hAnsi="宋体" w:eastAsia="宋体"/>
          <w:sz w:val="24"/>
          <w:szCs w:val="24"/>
        </w:rPr>
        <w:t>、招标文件的解释</w:t>
      </w:r>
    </w:p>
    <w:p>
      <w:pPr>
        <w:spacing w:line="500" w:lineRule="exact"/>
        <w:ind w:firstLine="480" w:firstLineChars="200"/>
        <w:rPr>
          <w:rFonts w:ascii="宋体"/>
          <w:bCs/>
          <w:sz w:val="24"/>
          <w:szCs w:val="24"/>
        </w:rPr>
      </w:pPr>
      <w:r>
        <w:rPr>
          <w:rFonts w:ascii="宋体" w:hAnsi="宋体"/>
          <w:bCs/>
          <w:sz w:val="24"/>
          <w:szCs w:val="24"/>
        </w:rPr>
        <w:t xml:space="preserve">6.1 </w:t>
      </w:r>
      <w:r>
        <w:rPr>
          <w:rFonts w:hint="eastAsia" w:ascii="宋体" w:hAnsi="宋体"/>
          <w:bCs/>
          <w:sz w:val="24"/>
          <w:szCs w:val="24"/>
        </w:rPr>
        <w:t>本招标文件由采购人负责解释。</w:t>
      </w:r>
    </w:p>
    <w:p>
      <w:pPr>
        <w:pStyle w:val="9"/>
        <w:spacing w:beforeLines="50" w:afterLines="50" w:line="500" w:lineRule="exact"/>
        <w:ind w:firstLine="241" w:firstLineChars="100"/>
        <w:rPr>
          <w:rFonts w:ascii="宋体"/>
          <w:sz w:val="24"/>
          <w:szCs w:val="24"/>
        </w:rPr>
      </w:pPr>
      <w:bookmarkStart w:id="68" w:name="_Toc120614215"/>
      <w:bookmarkStart w:id="69" w:name="_Toc513029209"/>
      <w:bookmarkStart w:id="70" w:name="_Toc20823281"/>
      <w:bookmarkStart w:id="71" w:name="_Toc16938525"/>
      <w:r>
        <w:rPr>
          <w:rFonts w:hint="eastAsia" w:ascii="宋体" w:hAnsi="宋体"/>
          <w:sz w:val="24"/>
          <w:szCs w:val="24"/>
        </w:rPr>
        <w:t>二、招标文件</w:t>
      </w:r>
      <w:bookmarkEnd w:id="68"/>
      <w:bookmarkEnd w:id="69"/>
      <w:bookmarkEnd w:id="70"/>
      <w:bookmarkEnd w:id="71"/>
    </w:p>
    <w:p>
      <w:pPr>
        <w:pStyle w:val="10"/>
        <w:spacing w:before="0" w:after="0" w:line="500" w:lineRule="exact"/>
        <w:ind w:firstLine="361" w:firstLineChars="150"/>
        <w:rPr>
          <w:rFonts w:ascii="宋体" w:hAnsi="宋体" w:eastAsia="宋体"/>
          <w:sz w:val="24"/>
          <w:szCs w:val="24"/>
        </w:rPr>
      </w:pPr>
      <w:bookmarkStart w:id="72" w:name="_Toc513029210"/>
      <w:bookmarkStart w:id="73" w:name="_Toc16938526"/>
      <w:bookmarkStart w:id="74" w:name="_Toc20823282"/>
      <w:r>
        <w:rPr>
          <w:rFonts w:ascii="宋体" w:hAnsi="宋体" w:eastAsia="宋体"/>
          <w:sz w:val="24"/>
          <w:szCs w:val="24"/>
        </w:rPr>
        <w:t>7</w:t>
      </w:r>
      <w:r>
        <w:rPr>
          <w:rFonts w:hint="eastAsia" w:ascii="宋体" w:hAnsi="宋体" w:eastAsia="宋体"/>
          <w:sz w:val="24"/>
          <w:szCs w:val="24"/>
        </w:rPr>
        <w:t>、招标文件构成</w:t>
      </w:r>
      <w:bookmarkEnd w:id="72"/>
      <w:bookmarkEnd w:id="73"/>
      <w:bookmarkEnd w:id="74"/>
    </w:p>
    <w:p>
      <w:pPr>
        <w:spacing w:line="500" w:lineRule="exact"/>
        <w:ind w:firstLine="480" w:firstLineChars="200"/>
        <w:rPr>
          <w:rFonts w:ascii="宋体" w:hAnsi="宋体"/>
          <w:bCs/>
          <w:sz w:val="24"/>
          <w:szCs w:val="24"/>
        </w:rPr>
      </w:pPr>
      <w:r>
        <w:rPr>
          <w:rFonts w:hint="eastAsia" w:ascii="宋体" w:hAnsi="宋体"/>
          <w:bCs/>
          <w:sz w:val="24"/>
          <w:szCs w:val="24"/>
        </w:rPr>
        <w:t>7.1 招标文件有以下部分组成：</w:t>
      </w:r>
    </w:p>
    <w:p>
      <w:pPr>
        <w:spacing w:line="500" w:lineRule="exact"/>
        <w:ind w:firstLine="480" w:firstLineChars="200"/>
        <w:rPr>
          <w:rFonts w:ascii="宋体" w:hAnsi="宋体"/>
          <w:bCs/>
          <w:sz w:val="24"/>
          <w:szCs w:val="24"/>
        </w:rPr>
      </w:pPr>
      <w:r>
        <w:rPr>
          <w:rFonts w:hint="eastAsia" w:ascii="宋体" w:hAnsi="宋体"/>
          <w:bCs/>
          <w:sz w:val="24"/>
          <w:szCs w:val="24"/>
        </w:rPr>
        <w:t>（1）招标公告</w:t>
      </w:r>
    </w:p>
    <w:p>
      <w:pPr>
        <w:spacing w:line="500" w:lineRule="exact"/>
        <w:ind w:firstLine="480" w:firstLineChars="200"/>
        <w:rPr>
          <w:rFonts w:ascii="宋体" w:hAnsi="宋体"/>
          <w:bCs/>
          <w:sz w:val="24"/>
          <w:szCs w:val="24"/>
        </w:rPr>
      </w:pPr>
      <w:r>
        <w:rPr>
          <w:rFonts w:hint="eastAsia" w:ascii="宋体" w:hAnsi="宋体"/>
          <w:bCs/>
          <w:sz w:val="24"/>
          <w:szCs w:val="24"/>
        </w:rPr>
        <w:t>（2）投标人须知</w:t>
      </w:r>
    </w:p>
    <w:p>
      <w:pPr>
        <w:spacing w:line="500" w:lineRule="exact"/>
        <w:ind w:firstLine="480" w:firstLineChars="200"/>
        <w:rPr>
          <w:rFonts w:ascii="宋体" w:hAnsi="宋体"/>
          <w:bCs/>
          <w:sz w:val="24"/>
          <w:szCs w:val="24"/>
        </w:rPr>
      </w:pPr>
      <w:r>
        <w:rPr>
          <w:rFonts w:hint="eastAsia" w:ascii="宋体" w:hAnsi="宋体"/>
          <w:bCs/>
          <w:sz w:val="24"/>
          <w:szCs w:val="24"/>
        </w:rPr>
        <w:t>（3）合同条款及格式</w:t>
      </w:r>
    </w:p>
    <w:p>
      <w:pPr>
        <w:spacing w:line="500" w:lineRule="exact"/>
        <w:ind w:firstLine="480" w:firstLineChars="200"/>
        <w:rPr>
          <w:rFonts w:ascii="宋体" w:hAnsi="宋体"/>
          <w:bCs/>
          <w:sz w:val="24"/>
          <w:szCs w:val="24"/>
        </w:rPr>
      </w:pPr>
      <w:r>
        <w:rPr>
          <w:rFonts w:hint="eastAsia" w:ascii="宋体" w:hAnsi="宋体"/>
          <w:bCs/>
          <w:sz w:val="24"/>
          <w:szCs w:val="24"/>
        </w:rPr>
        <w:t>（4）项目需求</w:t>
      </w:r>
    </w:p>
    <w:p>
      <w:pPr>
        <w:spacing w:line="500" w:lineRule="exact"/>
        <w:ind w:firstLine="480" w:firstLineChars="200"/>
        <w:rPr>
          <w:rFonts w:ascii="宋体" w:hAnsi="宋体"/>
          <w:bCs/>
          <w:sz w:val="24"/>
          <w:szCs w:val="24"/>
        </w:rPr>
      </w:pPr>
      <w:r>
        <w:rPr>
          <w:rFonts w:hint="eastAsia" w:ascii="宋体" w:hAnsi="宋体"/>
          <w:bCs/>
          <w:sz w:val="24"/>
          <w:szCs w:val="24"/>
        </w:rPr>
        <w:t>（5）评标方法与评标标准</w:t>
      </w:r>
    </w:p>
    <w:p>
      <w:pPr>
        <w:spacing w:line="500" w:lineRule="exact"/>
        <w:ind w:firstLine="480" w:firstLineChars="200"/>
        <w:rPr>
          <w:rFonts w:ascii="宋体" w:hAnsi="宋体"/>
          <w:bCs/>
          <w:sz w:val="24"/>
          <w:szCs w:val="24"/>
        </w:rPr>
      </w:pPr>
      <w:r>
        <w:rPr>
          <w:rFonts w:hint="eastAsia" w:ascii="宋体" w:hAnsi="宋体"/>
          <w:bCs/>
          <w:sz w:val="24"/>
          <w:szCs w:val="24"/>
        </w:rPr>
        <w:t>（6）投标文件格式</w:t>
      </w:r>
    </w:p>
    <w:p>
      <w:pPr>
        <w:spacing w:line="500" w:lineRule="exact"/>
        <w:ind w:firstLine="480" w:firstLineChars="200"/>
        <w:rPr>
          <w:rFonts w:ascii="宋体" w:hAnsi="宋体"/>
          <w:bCs/>
          <w:sz w:val="24"/>
          <w:szCs w:val="24"/>
        </w:rPr>
      </w:pPr>
      <w:r>
        <w:rPr>
          <w:rFonts w:hint="eastAsia" w:ascii="宋体" w:hAnsi="宋体"/>
          <w:bCs/>
          <w:sz w:val="24"/>
          <w:szCs w:val="24"/>
        </w:rPr>
        <w:t>请仔细检查招标文件是否齐全，如有缺漏请立即与采购人或采购代理机构联系解决。</w:t>
      </w:r>
    </w:p>
    <w:p>
      <w:pPr>
        <w:spacing w:line="500" w:lineRule="exact"/>
        <w:ind w:firstLine="480" w:firstLineChars="200"/>
        <w:rPr>
          <w:rFonts w:ascii="宋体"/>
          <w:sz w:val="24"/>
          <w:szCs w:val="24"/>
        </w:rPr>
      </w:pPr>
      <w:r>
        <w:rPr>
          <w:rFonts w:hint="eastAsia" w:ascii="宋体" w:hAnsi="宋体"/>
          <w:bCs/>
          <w:sz w:val="24"/>
          <w:szCs w:val="24"/>
        </w:rPr>
        <w:t>7.2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pPr>
        <w:pStyle w:val="10"/>
        <w:spacing w:before="0" w:after="0" w:line="500" w:lineRule="exact"/>
        <w:ind w:firstLine="482" w:firstLineChars="200"/>
        <w:rPr>
          <w:rFonts w:ascii="宋体" w:hAnsi="宋体" w:eastAsia="宋体"/>
          <w:sz w:val="24"/>
          <w:szCs w:val="24"/>
        </w:rPr>
      </w:pPr>
      <w:bookmarkStart w:id="75" w:name="_Toc20823283"/>
      <w:bookmarkStart w:id="76" w:name="_Toc16938527"/>
      <w:bookmarkStart w:id="77" w:name="_Toc513029211"/>
      <w:bookmarkStart w:id="78" w:name="_Toc462564070"/>
      <w:r>
        <w:rPr>
          <w:rFonts w:ascii="宋体" w:hAnsi="宋体" w:eastAsia="宋体"/>
          <w:sz w:val="24"/>
          <w:szCs w:val="24"/>
        </w:rPr>
        <w:t>8</w:t>
      </w:r>
      <w:r>
        <w:rPr>
          <w:rFonts w:hint="eastAsia" w:ascii="宋体" w:hAnsi="宋体" w:eastAsia="宋体"/>
          <w:sz w:val="24"/>
          <w:szCs w:val="24"/>
        </w:rPr>
        <w:t>、招标文件的</w:t>
      </w:r>
      <w:bookmarkEnd w:id="75"/>
      <w:bookmarkEnd w:id="76"/>
      <w:bookmarkEnd w:id="77"/>
      <w:bookmarkEnd w:id="78"/>
      <w:r>
        <w:rPr>
          <w:rFonts w:hint="eastAsia" w:ascii="宋体" w:hAnsi="宋体" w:eastAsia="宋体"/>
          <w:sz w:val="24"/>
          <w:szCs w:val="24"/>
        </w:rPr>
        <w:t>询问、澄清及修改</w:t>
      </w:r>
    </w:p>
    <w:p>
      <w:pPr>
        <w:spacing w:line="500" w:lineRule="exact"/>
        <w:ind w:firstLine="480" w:firstLineChars="200"/>
        <w:rPr>
          <w:rFonts w:ascii="宋体" w:hAnsi="宋体"/>
          <w:bCs/>
          <w:sz w:val="24"/>
          <w:szCs w:val="24"/>
        </w:rPr>
      </w:pPr>
      <w:r>
        <w:rPr>
          <w:rFonts w:hint="eastAsia" w:ascii="宋体" w:hAnsi="宋体"/>
          <w:bCs/>
          <w:sz w:val="24"/>
          <w:szCs w:val="24"/>
        </w:rPr>
        <w:t>8.1 任何要求对招标文件进行询问的投标人，应在投标截止日期10日前按招标公告中的通讯地址，向采购人或者采购代理机构提出。</w:t>
      </w:r>
    </w:p>
    <w:p>
      <w:pPr>
        <w:spacing w:line="500" w:lineRule="exact"/>
        <w:ind w:firstLine="480" w:firstLineChars="200"/>
        <w:rPr>
          <w:rFonts w:ascii="宋体"/>
          <w:sz w:val="24"/>
          <w:szCs w:val="24"/>
        </w:rPr>
      </w:pPr>
      <w:r>
        <w:rPr>
          <w:rFonts w:hint="eastAsia" w:ascii="宋体" w:hAnsi="宋体"/>
          <w:bCs/>
          <w:sz w:val="24"/>
          <w:szCs w:val="24"/>
        </w:rPr>
        <w:t>8.2 澄清或者修改的内容可能影响投标文件编制的，采购人或者采购代理机构应当在投标截止时间至少15日前，以书面形式或在网上发布更正公告通知所有获取招标文件的潜在投标人；不足15日的，采购人或者采购代理机构应当顺延提交投标文件的截止时间。</w:t>
      </w:r>
    </w:p>
    <w:p>
      <w:pPr>
        <w:pStyle w:val="10"/>
        <w:spacing w:before="0" w:after="0" w:line="500" w:lineRule="exact"/>
        <w:ind w:firstLine="482" w:firstLineChars="200"/>
        <w:rPr>
          <w:rFonts w:ascii="宋体" w:hAnsi="宋体" w:eastAsia="宋体"/>
          <w:sz w:val="24"/>
          <w:szCs w:val="24"/>
        </w:rPr>
      </w:pPr>
      <w:bookmarkStart w:id="79" w:name="_Toc462564071"/>
      <w:bookmarkStart w:id="80" w:name="_Toc513029212"/>
      <w:bookmarkStart w:id="81" w:name="_Toc16938528"/>
      <w:bookmarkStart w:id="82" w:name="_Toc20823284"/>
      <w:r>
        <w:rPr>
          <w:rFonts w:ascii="宋体" w:hAnsi="宋体" w:eastAsia="宋体"/>
          <w:sz w:val="24"/>
          <w:szCs w:val="24"/>
        </w:rPr>
        <w:t>9</w:t>
      </w:r>
      <w:r>
        <w:rPr>
          <w:rFonts w:hint="eastAsia" w:ascii="宋体" w:hAnsi="宋体" w:eastAsia="宋体"/>
          <w:sz w:val="24"/>
          <w:szCs w:val="24"/>
        </w:rPr>
        <w:t>、招标文件的修改</w:t>
      </w:r>
      <w:bookmarkEnd w:id="79"/>
      <w:bookmarkEnd w:id="80"/>
      <w:bookmarkEnd w:id="81"/>
      <w:bookmarkEnd w:id="82"/>
    </w:p>
    <w:p>
      <w:pPr>
        <w:spacing w:line="500" w:lineRule="exact"/>
        <w:ind w:firstLine="480" w:firstLineChars="200"/>
        <w:rPr>
          <w:rFonts w:ascii="宋体" w:hAnsi="宋体"/>
          <w:bCs/>
          <w:sz w:val="24"/>
          <w:szCs w:val="24"/>
        </w:rPr>
      </w:pPr>
      <w:r>
        <w:rPr>
          <w:rFonts w:hint="eastAsia" w:ascii="宋体" w:hAnsi="宋体"/>
          <w:bCs/>
          <w:sz w:val="24"/>
          <w:szCs w:val="24"/>
        </w:rPr>
        <w:t>9.1 在投标截止时间三天前，采购人或者采购代理机构可以对招标文件进行修改。</w:t>
      </w:r>
    </w:p>
    <w:p>
      <w:pPr>
        <w:spacing w:line="500" w:lineRule="exact"/>
        <w:ind w:firstLine="480" w:firstLineChars="200"/>
        <w:rPr>
          <w:rFonts w:ascii="宋体" w:hAnsi="宋体"/>
          <w:bCs/>
          <w:sz w:val="24"/>
          <w:szCs w:val="24"/>
        </w:rPr>
      </w:pPr>
      <w:r>
        <w:rPr>
          <w:rFonts w:hint="eastAsia" w:ascii="宋体" w:hAnsi="宋体"/>
          <w:bCs/>
          <w:sz w:val="24"/>
          <w:szCs w:val="24"/>
        </w:rPr>
        <w:t>9.2采购人有权依法推迟投标截止日期和开标日期。</w:t>
      </w:r>
    </w:p>
    <w:p>
      <w:pPr>
        <w:spacing w:line="500" w:lineRule="exact"/>
        <w:ind w:firstLine="480" w:firstLineChars="200"/>
        <w:rPr>
          <w:rFonts w:ascii="宋体"/>
          <w:sz w:val="24"/>
          <w:szCs w:val="24"/>
        </w:rPr>
      </w:pPr>
      <w:r>
        <w:rPr>
          <w:rFonts w:hint="eastAsia" w:ascii="宋体" w:hAnsi="宋体"/>
          <w:bCs/>
          <w:sz w:val="24"/>
          <w:szCs w:val="24"/>
        </w:rPr>
        <w:t>9.3招标文件的修改将在“盐城市政府采购网”、“盐城市盐都区人民政府网”公布，补充文件将作为招标文件的组成部分，并对投标人具有约束力。</w:t>
      </w:r>
    </w:p>
    <w:p>
      <w:pPr>
        <w:spacing w:line="500" w:lineRule="exact"/>
        <w:ind w:firstLine="482" w:firstLineChars="200"/>
        <w:rPr>
          <w:rFonts w:hint="eastAsia" w:ascii="宋体" w:hAnsi="宋体"/>
          <w:b/>
          <w:bCs w:val="0"/>
          <w:sz w:val="24"/>
          <w:szCs w:val="24"/>
        </w:rPr>
      </w:pPr>
      <w:bookmarkStart w:id="83" w:name="_Toc16938529"/>
      <w:bookmarkStart w:id="84" w:name="_Toc20823285"/>
      <w:bookmarkStart w:id="85" w:name="_Toc513029213"/>
      <w:bookmarkStart w:id="86" w:name="_Toc462564072"/>
      <w:bookmarkStart w:id="87" w:name="_Toc120614216"/>
      <w:r>
        <w:rPr>
          <w:rFonts w:hint="eastAsia" w:ascii="宋体" w:hAnsi="宋体"/>
          <w:b/>
          <w:bCs w:val="0"/>
          <w:sz w:val="24"/>
          <w:szCs w:val="24"/>
        </w:rPr>
        <w:t>三、投标文件的编制</w:t>
      </w:r>
      <w:bookmarkEnd w:id="83"/>
      <w:bookmarkEnd w:id="84"/>
      <w:bookmarkEnd w:id="85"/>
      <w:bookmarkEnd w:id="86"/>
      <w:bookmarkEnd w:id="87"/>
    </w:p>
    <w:p>
      <w:pPr>
        <w:spacing w:line="500" w:lineRule="exact"/>
        <w:ind w:firstLine="482" w:firstLineChars="200"/>
        <w:rPr>
          <w:rFonts w:hint="eastAsia" w:ascii="宋体" w:hAnsi="宋体"/>
          <w:b/>
          <w:bCs w:val="0"/>
          <w:sz w:val="24"/>
          <w:szCs w:val="24"/>
        </w:rPr>
      </w:pPr>
      <w:bookmarkStart w:id="88" w:name="_Toc462564073"/>
      <w:bookmarkStart w:id="89" w:name="_Toc16938530"/>
      <w:bookmarkStart w:id="90" w:name="_Toc513029214"/>
      <w:bookmarkStart w:id="91" w:name="_Toc20823286"/>
      <w:r>
        <w:rPr>
          <w:rFonts w:hint="eastAsia" w:ascii="宋体" w:hAnsi="宋体"/>
          <w:b/>
          <w:bCs w:val="0"/>
          <w:sz w:val="24"/>
          <w:szCs w:val="24"/>
        </w:rPr>
        <w:t>10、投标文件的语言及度量衡单位</w:t>
      </w:r>
      <w:bookmarkEnd w:id="88"/>
      <w:bookmarkEnd w:id="89"/>
      <w:bookmarkEnd w:id="90"/>
      <w:bookmarkEnd w:id="91"/>
    </w:p>
    <w:p>
      <w:pPr>
        <w:spacing w:line="500" w:lineRule="exact"/>
        <w:ind w:firstLine="480" w:firstLineChars="200"/>
        <w:rPr>
          <w:rFonts w:ascii="宋体" w:hAnsi="宋体"/>
          <w:color w:val="000000"/>
          <w:sz w:val="24"/>
        </w:rPr>
      </w:pPr>
      <w:r>
        <w:rPr>
          <w:rFonts w:hint="eastAsia" w:ascii="宋体" w:hAnsi="宋体"/>
          <w:bCs/>
          <w:sz w:val="24"/>
          <w:szCs w:val="24"/>
        </w:rPr>
        <w:t>10.1 投标人提交的投</w:t>
      </w:r>
      <w:r>
        <w:rPr>
          <w:rFonts w:hint="eastAsia" w:ascii="宋体" w:hAnsi="宋体"/>
          <w:color w:val="000000"/>
          <w:sz w:val="24"/>
        </w:rPr>
        <w:t>标文件以及投标人与采购人就有关投标的所有来往通知、函件和文件均应使用</w:t>
      </w:r>
      <w:r>
        <w:rPr>
          <w:rFonts w:hint="eastAsia" w:ascii="宋体" w:hAnsi="宋体"/>
          <w:b/>
          <w:bCs/>
          <w:color w:val="000000"/>
          <w:sz w:val="24"/>
        </w:rPr>
        <w:t>简体中文</w:t>
      </w:r>
      <w:r>
        <w:rPr>
          <w:rFonts w:hint="eastAsia" w:ascii="宋体" w:hAnsi="宋体"/>
          <w:color w:val="000000"/>
          <w:sz w:val="24"/>
        </w:rPr>
        <w:t>。</w:t>
      </w:r>
    </w:p>
    <w:p>
      <w:pPr>
        <w:spacing w:line="500" w:lineRule="exact"/>
        <w:ind w:firstLine="480" w:firstLineChars="200"/>
        <w:rPr>
          <w:rFonts w:ascii="宋体"/>
          <w:sz w:val="24"/>
          <w:szCs w:val="24"/>
        </w:rPr>
      </w:pPr>
      <w:r>
        <w:rPr>
          <w:rFonts w:hint="eastAsia" w:ascii="宋体" w:hAnsi="宋体"/>
          <w:bCs/>
          <w:color w:val="000000"/>
          <w:sz w:val="24"/>
        </w:rPr>
        <w:t>10.2</w:t>
      </w:r>
      <w:r>
        <w:rPr>
          <w:rFonts w:hint="eastAsia" w:ascii="宋体" w:hAnsi="宋体"/>
          <w:color w:val="000000"/>
          <w:sz w:val="24"/>
        </w:rPr>
        <w:t xml:space="preserve"> 除技术性能另有规定外，投标文件所使用的度量衡单位，均须采用国家法定计量单位。</w:t>
      </w:r>
    </w:p>
    <w:p>
      <w:pPr>
        <w:pStyle w:val="10"/>
        <w:spacing w:before="0" w:after="0" w:line="500" w:lineRule="exact"/>
        <w:ind w:firstLine="482" w:firstLineChars="200"/>
        <w:rPr>
          <w:rFonts w:ascii="宋体" w:hAnsi="宋体" w:eastAsia="宋体"/>
          <w:sz w:val="24"/>
          <w:szCs w:val="24"/>
        </w:rPr>
      </w:pPr>
      <w:bookmarkStart w:id="92" w:name="_Toc20823287"/>
      <w:bookmarkStart w:id="93" w:name="_Toc16938531"/>
      <w:bookmarkStart w:id="94" w:name="_Toc513029215"/>
      <w:bookmarkStart w:id="95" w:name="_Toc462564074"/>
      <w:r>
        <w:rPr>
          <w:rFonts w:ascii="宋体" w:hAnsi="宋体" w:eastAsia="宋体"/>
          <w:sz w:val="24"/>
          <w:szCs w:val="24"/>
        </w:rPr>
        <w:t>11</w:t>
      </w:r>
      <w:r>
        <w:rPr>
          <w:rFonts w:hint="eastAsia" w:ascii="宋体" w:hAnsi="宋体" w:eastAsia="宋体"/>
          <w:sz w:val="24"/>
          <w:szCs w:val="24"/>
        </w:rPr>
        <w:t>、投标文件构成</w:t>
      </w:r>
      <w:bookmarkEnd w:id="92"/>
      <w:bookmarkEnd w:id="93"/>
      <w:bookmarkEnd w:id="94"/>
      <w:bookmarkEnd w:id="95"/>
    </w:p>
    <w:p>
      <w:pPr>
        <w:spacing w:line="440" w:lineRule="exact"/>
        <w:ind w:firstLine="480" w:firstLineChars="200"/>
        <w:rPr>
          <w:rFonts w:ascii="宋体" w:hAnsi="宋体"/>
          <w:color w:val="000000"/>
          <w:sz w:val="24"/>
        </w:rPr>
      </w:pPr>
      <w:bookmarkStart w:id="96" w:name="_Toc513029219"/>
      <w:bookmarkStart w:id="97" w:name="_Toc14577357"/>
      <w:bookmarkStart w:id="98" w:name="_Toc49090509"/>
      <w:bookmarkStart w:id="99" w:name="_Toc49090507"/>
      <w:bookmarkStart w:id="100" w:name="_Toc513029216"/>
      <w:bookmarkStart w:id="101" w:name="_Toc14577354"/>
      <w:r>
        <w:rPr>
          <w:rFonts w:hint="eastAsia" w:ascii="宋体" w:hAnsi="宋体"/>
          <w:bCs/>
          <w:color w:val="000000"/>
          <w:sz w:val="24"/>
        </w:rPr>
        <w:t>11.1</w:t>
      </w:r>
      <w:r>
        <w:rPr>
          <w:rFonts w:hint="eastAsia" w:ascii="宋体" w:hAnsi="宋体"/>
          <w:color w:val="000000"/>
          <w:sz w:val="24"/>
        </w:rPr>
        <w:t xml:space="preserve"> 投标人编写的投标文件应包括资信证明文件、投标报价表、技术参数响应及偏离表、商务条款响应及偏离表</w:t>
      </w:r>
      <w:r>
        <w:rPr>
          <w:rFonts w:hint="eastAsia"/>
          <w:color w:val="000000"/>
          <w:sz w:val="24"/>
        </w:rPr>
        <w:t>、</w:t>
      </w:r>
      <w:r>
        <w:rPr>
          <w:rFonts w:hint="eastAsia" w:ascii="宋体" w:hAnsi="宋体"/>
          <w:color w:val="000000"/>
          <w:sz w:val="24"/>
        </w:rPr>
        <w:t>投标函、开标一览表、分项报价表、政府采购事前信用承诺书等部分；</w:t>
      </w:r>
    </w:p>
    <w:p>
      <w:pPr>
        <w:spacing w:line="500" w:lineRule="exact"/>
        <w:ind w:firstLine="480" w:firstLineChars="200"/>
        <w:rPr>
          <w:rFonts w:ascii="宋体" w:hAnsi="宋体"/>
          <w:sz w:val="24"/>
        </w:rPr>
      </w:pPr>
      <w:r>
        <w:rPr>
          <w:rFonts w:hint="eastAsia" w:ascii="宋体" w:hAnsi="宋体"/>
          <w:color w:val="000000"/>
          <w:sz w:val="24"/>
        </w:rPr>
        <w:t>11.2投标人应将投标文件按顺序装订成册，并编制投标文件资料目录。</w:t>
      </w:r>
    </w:p>
    <w:p>
      <w:pPr>
        <w:pStyle w:val="10"/>
        <w:spacing w:before="0" w:after="0" w:line="500" w:lineRule="exact"/>
        <w:ind w:firstLine="482" w:firstLineChars="200"/>
        <w:rPr>
          <w:rFonts w:ascii="宋体" w:hAnsi="宋体" w:eastAsia="宋体"/>
          <w:sz w:val="24"/>
          <w:szCs w:val="24"/>
        </w:rPr>
      </w:pPr>
      <w:r>
        <w:rPr>
          <w:rFonts w:ascii="宋体" w:hAnsi="宋体" w:eastAsia="宋体"/>
          <w:sz w:val="24"/>
          <w:szCs w:val="24"/>
        </w:rPr>
        <w:t>12</w:t>
      </w:r>
      <w:r>
        <w:rPr>
          <w:rFonts w:hint="eastAsia" w:ascii="宋体" w:hAnsi="宋体" w:eastAsia="宋体"/>
          <w:sz w:val="24"/>
          <w:szCs w:val="24"/>
        </w:rPr>
        <w:t>、证明投标人资格及符合招标文件规定的文件</w:t>
      </w:r>
      <w:bookmarkEnd w:id="96"/>
      <w:bookmarkEnd w:id="97"/>
      <w:bookmarkEnd w:id="98"/>
    </w:p>
    <w:p>
      <w:pPr>
        <w:spacing w:line="500" w:lineRule="exact"/>
        <w:ind w:firstLine="480" w:firstLineChars="200"/>
        <w:rPr>
          <w:rFonts w:ascii="宋体" w:hAnsi="宋体"/>
          <w:sz w:val="24"/>
          <w:szCs w:val="24"/>
        </w:rPr>
      </w:pPr>
      <w:r>
        <w:rPr>
          <w:rFonts w:hint="eastAsia" w:ascii="宋体" w:hAnsi="宋体"/>
          <w:sz w:val="24"/>
          <w:szCs w:val="24"/>
        </w:rPr>
        <w:t>12.1投标人应按要求提交资格证明文件及符合招标文件规定的文件。</w:t>
      </w:r>
    </w:p>
    <w:p>
      <w:pPr>
        <w:spacing w:line="500" w:lineRule="exact"/>
        <w:ind w:firstLine="480" w:firstLineChars="200"/>
        <w:rPr>
          <w:rFonts w:ascii="宋体" w:hAnsi="宋体"/>
          <w:sz w:val="24"/>
          <w:szCs w:val="24"/>
        </w:rPr>
      </w:pPr>
      <w:r>
        <w:rPr>
          <w:rFonts w:hint="eastAsia" w:ascii="宋体" w:hAnsi="宋体"/>
          <w:sz w:val="24"/>
          <w:szCs w:val="24"/>
        </w:rPr>
        <w:t>12.2投标人应提交证明其有资格参加投标和中标后有能力独立履行合同的文件。</w:t>
      </w:r>
    </w:p>
    <w:p>
      <w:pPr>
        <w:spacing w:line="500" w:lineRule="exact"/>
        <w:ind w:firstLine="480" w:firstLineChars="200"/>
        <w:rPr>
          <w:rFonts w:ascii="宋体" w:hAnsi="宋体"/>
          <w:sz w:val="24"/>
          <w:szCs w:val="24"/>
        </w:rPr>
      </w:pPr>
      <w:r>
        <w:rPr>
          <w:rFonts w:hint="eastAsia" w:ascii="宋体" w:hAnsi="宋体"/>
          <w:sz w:val="24"/>
          <w:szCs w:val="24"/>
        </w:rPr>
        <w:t>12.3投标人除必须具有履行合同所需提供的货物以及服务的能力外，还必须具备相应的财务、技术方面的能力。</w:t>
      </w:r>
    </w:p>
    <w:p>
      <w:pPr>
        <w:spacing w:line="500" w:lineRule="exact"/>
        <w:rPr>
          <w:rFonts w:ascii="宋体" w:hAnsi="宋体"/>
          <w:sz w:val="24"/>
          <w:szCs w:val="24"/>
        </w:rPr>
      </w:pPr>
      <w:r>
        <w:rPr>
          <w:rFonts w:hint="eastAsia" w:ascii="宋体" w:hAnsi="宋体"/>
          <w:sz w:val="24"/>
          <w:szCs w:val="24"/>
        </w:rPr>
        <w:t xml:space="preserve">    12.4投标人应提交根据合同要求提供的证明产品质量合格以及符合招标文件规定的证明文件。</w:t>
      </w:r>
    </w:p>
    <w:p>
      <w:pPr>
        <w:spacing w:line="500" w:lineRule="exact"/>
        <w:ind w:firstLine="480" w:firstLineChars="200"/>
        <w:rPr>
          <w:rFonts w:ascii="宋体" w:hAnsi="宋体"/>
          <w:sz w:val="24"/>
          <w:szCs w:val="24"/>
        </w:rPr>
      </w:pPr>
      <w:r>
        <w:rPr>
          <w:rFonts w:hint="eastAsia" w:ascii="宋体" w:hAnsi="宋体"/>
          <w:sz w:val="24"/>
          <w:szCs w:val="24"/>
        </w:rPr>
        <w:t>12.5证明投标人所提供货物与招标文件的要求相一致的文件可以是手册、图纸、文字资料和数据。</w:t>
      </w:r>
    </w:p>
    <w:bookmarkEnd w:id="99"/>
    <w:bookmarkEnd w:id="100"/>
    <w:bookmarkEnd w:id="101"/>
    <w:p>
      <w:pPr>
        <w:pStyle w:val="10"/>
        <w:spacing w:before="0" w:after="0" w:line="500" w:lineRule="exact"/>
        <w:ind w:firstLine="482" w:firstLineChars="200"/>
        <w:rPr>
          <w:rFonts w:ascii="宋体" w:hAnsi="宋体" w:eastAsia="宋体"/>
          <w:sz w:val="24"/>
          <w:szCs w:val="24"/>
        </w:rPr>
      </w:pPr>
      <w:bookmarkStart w:id="102" w:name="_Toc49090508"/>
      <w:bookmarkStart w:id="103" w:name="_Toc14577355"/>
      <w:r>
        <w:rPr>
          <w:rFonts w:ascii="宋体" w:hAnsi="宋体" w:eastAsia="宋体"/>
          <w:sz w:val="24"/>
          <w:szCs w:val="24"/>
        </w:rPr>
        <w:t>13</w:t>
      </w:r>
      <w:r>
        <w:rPr>
          <w:rFonts w:hint="eastAsia" w:ascii="宋体" w:hAnsi="宋体" w:eastAsia="宋体"/>
          <w:sz w:val="24"/>
          <w:szCs w:val="24"/>
        </w:rPr>
        <w:t>、</w:t>
      </w:r>
      <w:bookmarkEnd w:id="102"/>
      <w:bookmarkEnd w:id="103"/>
      <w:r>
        <w:rPr>
          <w:rFonts w:hint="eastAsia" w:ascii="宋体" w:hAnsi="宋体" w:eastAsia="宋体"/>
          <w:sz w:val="24"/>
          <w:szCs w:val="24"/>
        </w:rPr>
        <w:t>投标报价表</w:t>
      </w:r>
    </w:p>
    <w:p>
      <w:pPr>
        <w:spacing w:line="500" w:lineRule="exact"/>
        <w:ind w:firstLine="480" w:firstLineChars="200"/>
        <w:rPr>
          <w:rFonts w:hint="eastAsia" w:ascii="宋体" w:hAnsi="宋体"/>
          <w:bCs/>
          <w:sz w:val="24"/>
          <w:szCs w:val="24"/>
        </w:rPr>
      </w:pPr>
      <w:r>
        <w:rPr>
          <w:rFonts w:hint="eastAsia" w:ascii="宋体" w:hAnsi="宋体"/>
          <w:bCs/>
          <w:sz w:val="24"/>
          <w:szCs w:val="24"/>
        </w:rPr>
        <w:t>13.1 投标人应按照招标文件规定格式填写投标报价表，只允许有一个报价，任何有选择的报价将不予接受。</w:t>
      </w:r>
    </w:p>
    <w:p>
      <w:pPr>
        <w:spacing w:line="500" w:lineRule="exact"/>
        <w:ind w:firstLine="480" w:firstLineChars="200"/>
        <w:rPr>
          <w:rFonts w:ascii="宋体" w:hAnsi="宋体"/>
          <w:bCs/>
          <w:sz w:val="24"/>
          <w:szCs w:val="24"/>
        </w:rPr>
      </w:pPr>
      <w:r>
        <w:rPr>
          <w:rFonts w:hint="eastAsia" w:ascii="宋体" w:hAnsi="宋体"/>
          <w:bCs/>
          <w:sz w:val="24"/>
          <w:szCs w:val="24"/>
        </w:rPr>
        <w:t>13.2投标人须对覆盖区域进行全面的现场踏勘，结合现场情况综合报价，中标后不得因踏勘不全增加任何费用。投标报价包括（但不限于）投标人完成本规划的所有工作内容并提供全套成果文件（包括全部基础资料电子文件以及评审所需文件），以及调研、资料收集、文件编制、汇报、评审、后续服务等全部工作所需的人工、管理、编制费、专家咨询费</w:t>
      </w:r>
      <w:r>
        <w:rPr>
          <w:rFonts w:hint="eastAsia" w:ascii="宋体" w:hAnsi="宋体"/>
          <w:bCs/>
          <w:sz w:val="24"/>
          <w:szCs w:val="24"/>
          <w:lang w:val="en-US" w:eastAsia="zh-CN"/>
        </w:rPr>
        <w:t>、</w:t>
      </w:r>
      <w:r>
        <w:rPr>
          <w:rFonts w:hint="eastAsia" w:ascii="宋体" w:hAnsi="宋体"/>
          <w:bCs/>
          <w:sz w:val="24"/>
          <w:szCs w:val="24"/>
        </w:rPr>
        <w:t>交通工具、差旅费、设备及相关费用、现场勘测、资料费、论证和印刷费、保险、利润、税金及合同包含的所有风险、责任等各项应有费用，后期不做调整。投标人在填写报价表时，要逐项填写数量、单价和合价，最后汇总得出总价。</w:t>
      </w:r>
    </w:p>
    <w:p>
      <w:pPr>
        <w:spacing w:line="500" w:lineRule="exact"/>
        <w:ind w:firstLine="480" w:firstLineChars="200"/>
        <w:rPr>
          <w:rFonts w:ascii="宋体" w:hAnsi="宋体"/>
          <w:bCs/>
          <w:sz w:val="24"/>
          <w:szCs w:val="24"/>
        </w:rPr>
      </w:pPr>
      <w:r>
        <w:rPr>
          <w:rFonts w:hint="eastAsia" w:ascii="宋体" w:hAnsi="宋体"/>
          <w:bCs/>
          <w:sz w:val="24"/>
          <w:szCs w:val="24"/>
        </w:rPr>
        <w:t>13.3其它费用处理</w:t>
      </w:r>
    </w:p>
    <w:p>
      <w:pPr>
        <w:spacing w:line="500" w:lineRule="exact"/>
        <w:ind w:firstLine="480" w:firstLineChars="200"/>
        <w:rPr>
          <w:rFonts w:ascii="宋体" w:hAnsi="宋体"/>
          <w:bCs/>
          <w:sz w:val="24"/>
          <w:szCs w:val="24"/>
        </w:rPr>
      </w:pPr>
      <w:r>
        <w:rPr>
          <w:rFonts w:hint="eastAsia" w:ascii="宋体" w:hAnsi="宋体"/>
          <w:bCs/>
          <w:sz w:val="24"/>
          <w:szCs w:val="24"/>
        </w:rPr>
        <w:t>招标文件未列明，而投标人认为必需的费用也需列入报价。</w:t>
      </w:r>
    </w:p>
    <w:p>
      <w:pPr>
        <w:spacing w:line="500" w:lineRule="exact"/>
        <w:ind w:firstLine="480" w:firstLineChars="200"/>
        <w:rPr>
          <w:rFonts w:ascii="宋体" w:hAnsi="宋体"/>
          <w:bCs/>
          <w:sz w:val="24"/>
          <w:szCs w:val="24"/>
        </w:rPr>
      </w:pPr>
      <w:r>
        <w:rPr>
          <w:rFonts w:hint="eastAsia" w:ascii="宋体" w:hAnsi="宋体"/>
          <w:bCs/>
          <w:sz w:val="24"/>
          <w:szCs w:val="24"/>
        </w:rPr>
        <w:t>13.4投标货币</w:t>
      </w:r>
    </w:p>
    <w:p>
      <w:pPr>
        <w:spacing w:line="500" w:lineRule="exact"/>
        <w:ind w:firstLine="480" w:firstLineChars="200"/>
        <w:rPr>
          <w:rFonts w:hint="eastAsia" w:ascii="宋体" w:hAnsi="宋体"/>
          <w:bCs/>
          <w:sz w:val="24"/>
          <w:szCs w:val="24"/>
        </w:rPr>
      </w:pPr>
      <w:r>
        <w:rPr>
          <w:rFonts w:hint="eastAsia" w:ascii="宋体" w:hAnsi="宋体"/>
          <w:bCs/>
          <w:sz w:val="24"/>
          <w:szCs w:val="24"/>
        </w:rPr>
        <w:t>投标文件中的货物单价和总价无特殊规定的采用人民币报价，以元为单位标注。招标文件中另有规定的按规定执行。</w:t>
      </w:r>
    </w:p>
    <w:p>
      <w:pPr>
        <w:spacing w:line="500" w:lineRule="exact"/>
        <w:ind w:firstLine="482" w:firstLineChars="200"/>
        <w:rPr>
          <w:rFonts w:hint="default" w:ascii="宋体" w:hAnsi="宋体" w:cs="Times New Roman"/>
          <w:b/>
          <w:bCs w:val="0"/>
          <w:sz w:val="24"/>
          <w:szCs w:val="24"/>
          <w:lang w:val="en-US" w:eastAsia="zh-CN"/>
        </w:rPr>
      </w:pPr>
      <w:r>
        <w:rPr>
          <w:rFonts w:hint="eastAsia" w:ascii="宋体" w:hAnsi="宋体" w:cs="Times New Roman"/>
          <w:b/>
          <w:bCs w:val="0"/>
          <w:color w:val="auto"/>
          <w:sz w:val="24"/>
          <w:szCs w:val="24"/>
          <w:lang w:val="en-US" w:eastAsia="zh-CN"/>
        </w:rPr>
        <w:t>13.5本项目招标代理费按国家计委计价格（2002）1980号文收费标准收取，在领取中标通知书前由中标单位缴纳给招标代理公司。</w:t>
      </w:r>
    </w:p>
    <w:p>
      <w:pPr>
        <w:spacing w:line="500" w:lineRule="exact"/>
        <w:ind w:firstLine="482" w:firstLineChars="200"/>
        <w:rPr>
          <w:rFonts w:ascii="宋体"/>
          <w:b/>
          <w:sz w:val="24"/>
          <w:szCs w:val="24"/>
        </w:rPr>
      </w:pPr>
      <w:r>
        <w:rPr>
          <w:rFonts w:ascii="宋体" w:hAnsi="宋体"/>
          <w:b/>
          <w:sz w:val="24"/>
          <w:szCs w:val="24"/>
        </w:rPr>
        <w:t>14</w:t>
      </w:r>
      <w:r>
        <w:rPr>
          <w:rFonts w:hint="eastAsia" w:ascii="宋体" w:hAnsi="宋体"/>
          <w:b/>
          <w:sz w:val="24"/>
          <w:szCs w:val="24"/>
        </w:rPr>
        <w:t>、技术参数响应及偏离表、商务条款响应及偏离表及投标货物说明</w:t>
      </w:r>
    </w:p>
    <w:p>
      <w:pPr>
        <w:autoSpaceDE w:val="0"/>
        <w:autoSpaceDN w:val="0"/>
        <w:adjustRightInd w:val="0"/>
        <w:spacing w:line="500" w:lineRule="exact"/>
        <w:ind w:firstLine="480"/>
        <w:rPr>
          <w:rFonts w:ascii="宋体" w:hAnsi="宋体" w:cs="宋体"/>
          <w:bCs/>
          <w:sz w:val="24"/>
          <w:szCs w:val="24"/>
          <w:lang w:val="zh-CN"/>
        </w:rPr>
      </w:pPr>
      <w:r>
        <w:rPr>
          <w:rFonts w:hint="eastAsia" w:ascii="宋体" w:hAnsi="宋体" w:cs="宋体"/>
          <w:bCs/>
          <w:sz w:val="24"/>
          <w:szCs w:val="24"/>
          <w:lang w:val="zh-CN"/>
        </w:rPr>
        <w:t>14.1 对招标文件中的技术与商务条款要求逐项作出响应或偏离，并说明原因；</w:t>
      </w:r>
    </w:p>
    <w:p>
      <w:pPr>
        <w:autoSpaceDE w:val="0"/>
        <w:autoSpaceDN w:val="0"/>
        <w:adjustRightInd w:val="0"/>
        <w:spacing w:line="500" w:lineRule="exact"/>
        <w:ind w:firstLine="480"/>
        <w:rPr>
          <w:rFonts w:ascii="宋体" w:hAnsi="宋体" w:cs="宋体"/>
          <w:bCs/>
          <w:sz w:val="24"/>
          <w:szCs w:val="24"/>
          <w:lang w:val="zh-CN"/>
        </w:rPr>
      </w:pPr>
      <w:r>
        <w:rPr>
          <w:rFonts w:hint="eastAsia" w:ascii="宋体" w:hAnsi="宋体" w:cs="宋体"/>
          <w:bCs/>
          <w:sz w:val="24"/>
          <w:szCs w:val="24"/>
          <w:lang w:val="zh-CN"/>
        </w:rPr>
        <w:t>14.2 提供参加本项目类似案例简介；</w:t>
      </w:r>
    </w:p>
    <w:p>
      <w:pPr>
        <w:autoSpaceDE w:val="0"/>
        <w:autoSpaceDN w:val="0"/>
        <w:adjustRightInd w:val="0"/>
        <w:spacing w:line="500" w:lineRule="exact"/>
        <w:ind w:firstLine="480"/>
        <w:rPr>
          <w:rFonts w:ascii="宋体" w:cs="宋体"/>
          <w:sz w:val="24"/>
          <w:szCs w:val="24"/>
          <w:lang w:val="zh-CN"/>
        </w:rPr>
      </w:pPr>
      <w:r>
        <w:rPr>
          <w:rFonts w:hint="eastAsia" w:ascii="宋体" w:hAnsi="宋体" w:cs="宋体"/>
          <w:bCs/>
          <w:sz w:val="24"/>
          <w:szCs w:val="24"/>
          <w:lang w:val="zh-CN"/>
        </w:rPr>
        <w:t>14.</w:t>
      </w:r>
      <w:r>
        <w:rPr>
          <w:rFonts w:hint="eastAsia" w:ascii="宋体" w:hAnsi="宋体" w:cs="宋体"/>
          <w:bCs/>
          <w:sz w:val="24"/>
          <w:szCs w:val="24"/>
        </w:rPr>
        <w:t xml:space="preserve">3 </w:t>
      </w:r>
      <w:r>
        <w:rPr>
          <w:rFonts w:hint="eastAsia" w:ascii="宋体" w:hAnsi="宋体" w:cs="宋体"/>
          <w:bCs/>
          <w:sz w:val="24"/>
          <w:szCs w:val="24"/>
          <w:lang w:val="zh-CN"/>
        </w:rPr>
        <w:t>投标人认为需要的其他技术文件或说明。</w:t>
      </w:r>
    </w:p>
    <w:p>
      <w:pPr>
        <w:pStyle w:val="10"/>
        <w:spacing w:before="0" w:after="0" w:line="500" w:lineRule="exact"/>
        <w:ind w:firstLine="482" w:firstLineChars="200"/>
        <w:rPr>
          <w:rFonts w:ascii="宋体" w:hAnsi="宋体" w:eastAsia="宋体"/>
          <w:sz w:val="24"/>
          <w:szCs w:val="24"/>
        </w:rPr>
      </w:pPr>
      <w:bookmarkStart w:id="104" w:name="_Toc14577359"/>
      <w:bookmarkStart w:id="105" w:name="_Toc49090510"/>
      <w:r>
        <w:rPr>
          <w:rFonts w:ascii="宋体" w:hAnsi="宋体" w:eastAsia="宋体"/>
          <w:sz w:val="24"/>
          <w:szCs w:val="24"/>
        </w:rPr>
        <w:t>1</w:t>
      </w:r>
      <w:r>
        <w:rPr>
          <w:rFonts w:hint="eastAsia" w:ascii="宋体" w:hAnsi="宋体" w:eastAsia="宋体"/>
          <w:sz w:val="24"/>
          <w:szCs w:val="24"/>
        </w:rPr>
        <w:t>5、投标函和开标一览表</w:t>
      </w:r>
    </w:p>
    <w:bookmarkEnd w:id="104"/>
    <w:bookmarkEnd w:id="105"/>
    <w:p>
      <w:pPr>
        <w:spacing w:line="500" w:lineRule="exact"/>
        <w:ind w:firstLine="480" w:firstLineChars="200"/>
        <w:rPr>
          <w:rFonts w:ascii="宋体" w:hAnsi="宋体"/>
          <w:bCs/>
          <w:sz w:val="24"/>
          <w:szCs w:val="24"/>
        </w:rPr>
      </w:pPr>
      <w:bookmarkStart w:id="106" w:name="_Toc49090511"/>
      <w:bookmarkStart w:id="107" w:name="_Toc14577360"/>
      <w:r>
        <w:rPr>
          <w:rFonts w:hint="eastAsia" w:ascii="宋体" w:hAnsi="宋体"/>
          <w:bCs/>
          <w:sz w:val="24"/>
          <w:szCs w:val="24"/>
        </w:rPr>
        <w:t>15.1 投标人应按照招标文件中提供的格式完整、正确填写投标函、开标一览表。</w:t>
      </w:r>
    </w:p>
    <w:p>
      <w:pPr>
        <w:spacing w:line="500" w:lineRule="exact"/>
        <w:ind w:firstLine="480" w:firstLineChars="200"/>
        <w:rPr>
          <w:rFonts w:ascii="宋体" w:hAnsi="宋体"/>
          <w:b/>
          <w:bCs/>
          <w:sz w:val="24"/>
          <w:szCs w:val="24"/>
        </w:rPr>
      </w:pPr>
      <w:r>
        <w:rPr>
          <w:rFonts w:hint="eastAsia" w:ascii="宋体" w:hAnsi="宋体"/>
          <w:bCs/>
          <w:sz w:val="24"/>
          <w:szCs w:val="24"/>
        </w:rPr>
        <w:t>15.2 开标一览表中的价格应与分项报价表的价格一致，如不一致，不作为无效投标处理，但评标时按开标一览表中价格为准。</w:t>
      </w:r>
    </w:p>
    <w:p>
      <w:pPr>
        <w:pStyle w:val="10"/>
        <w:spacing w:before="0" w:after="0" w:line="500" w:lineRule="exact"/>
        <w:ind w:firstLine="482" w:firstLineChars="200"/>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6、投标有效期</w:t>
      </w:r>
      <w:bookmarkEnd w:id="106"/>
      <w:bookmarkEnd w:id="107"/>
    </w:p>
    <w:p>
      <w:pPr>
        <w:spacing w:line="500" w:lineRule="exact"/>
        <w:ind w:firstLine="480" w:firstLineChars="200"/>
        <w:rPr>
          <w:rFonts w:ascii="宋体"/>
          <w:bCs/>
          <w:sz w:val="24"/>
          <w:szCs w:val="24"/>
        </w:rPr>
      </w:pPr>
      <w:r>
        <w:rPr>
          <w:rFonts w:ascii="宋体" w:hAnsi="宋体"/>
          <w:sz w:val="24"/>
          <w:szCs w:val="24"/>
        </w:rPr>
        <w:t>1</w:t>
      </w:r>
      <w:r>
        <w:rPr>
          <w:rFonts w:hint="eastAsia" w:ascii="宋体" w:hAnsi="宋体"/>
          <w:sz w:val="24"/>
          <w:szCs w:val="24"/>
        </w:rPr>
        <w:t>6</w:t>
      </w:r>
      <w:r>
        <w:rPr>
          <w:rFonts w:ascii="宋体" w:hAnsi="宋体"/>
          <w:sz w:val="24"/>
          <w:szCs w:val="24"/>
        </w:rPr>
        <w:t>.1</w:t>
      </w:r>
      <w:r>
        <w:rPr>
          <w:rFonts w:hint="eastAsia" w:ascii="宋体" w:hAnsi="宋体"/>
          <w:bCs/>
          <w:sz w:val="24"/>
          <w:szCs w:val="24"/>
        </w:rPr>
        <w:t>投标有效期为开标之日后</w:t>
      </w:r>
      <w:r>
        <w:rPr>
          <w:rFonts w:hint="eastAsia" w:ascii="宋体" w:hAnsi="宋体"/>
          <w:b/>
          <w:sz w:val="24"/>
          <w:szCs w:val="24"/>
          <w:u w:val="single"/>
        </w:rPr>
        <w:t>六十（60）天</w:t>
      </w:r>
      <w:r>
        <w:rPr>
          <w:rFonts w:hint="eastAsia" w:ascii="宋体" w:hAnsi="宋体"/>
          <w:bCs/>
          <w:sz w:val="24"/>
          <w:szCs w:val="24"/>
        </w:rPr>
        <w:t>。投标有效期比规定短的将被视为非响应性投标而予以拒绝。</w:t>
      </w:r>
    </w:p>
    <w:p>
      <w:pPr>
        <w:spacing w:line="500" w:lineRule="exact"/>
        <w:ind w:firstLine="480" w:firstLineChars="200"/>
        <w:rPr>
          <w:rFonts w:ascii="宋体"/>
          <w:bCs/>
          <w:sz w:val="24"/>
          <w:szCs w:val="24"/>
        </w:rPr>
      </w:pPr>
      <w:r>
        <w:rPr>
          <w:rFonts w:ascii="宋体" w:hAnsi="宋体"/>
          <w:sz w:val="24"/>
          <w:szCs w:val="24"/>
        </w:rPr>
        <w:t>1</w:t>
      </w:r>
      <w:r>
        <w:rPr>
          <w:rFonts w:hint="eastAsia" w:ascii="宋体" w:hAnsi="宋体"/>
          <w:sz w:val="24"/>
          <w:szCs w:val="24"/>
        </w:rPr>
        <w:t>6</w:t>
      </w:r>
      <w:r>
        <w:rPr>
          <w:rFonts w:ascii="宋体" w:hAnsi="宋体"/>
          <w:sz w:val="24"/>
          <w:szCs w:val="24"/>
        </w:rPr>
        <w:t>.2</w:t>
      </w:r>
      <w:r>
        <w:rPr>
          <w:rFonts w:hint="eastAsia" w:ascii="宋体" w:hAnsi="宋体"/>
          <w:bCs/>
          <w:sz w:val="24"/>
          <w:szCs w:val="24"/>
        </w:rPr>
        <w:t>在特殊情况下，采购人于原投标有效期满之前，可向投标人提出延长投标有效期的要求。这种要求与答复均应采用书面形式。投标人可以拒绝采购人的这一要求而放弃投标。同意延长投标有效期的投标人既不能要求也不允许修改其投标文件。</w:t>
      </w:r>
    </w:p>
    <w:p>
      <w:pPr>
        <w:pStyle w:val="10"/>
        <w:spacing w:before="0" w:after="0" w:line="500" w:lineRule="exact"/>
        <w:ind w:firstLine="361" w:firstLineChars="150"/>
        <w:rPr>
          <w:rFonts w:ascii="宋体" w:hAnsi="宋体" w:eastAsia="宋体"/>
          <w:sz w:val="24"/>
          <w:szCs w:val="24"/>
        </w:rPr>
      </w:pPr>
      <w:bookmarkStart w:id="108" w:name="_Toc14577361"/>
      <w:bookmarkStart w:id="109" w:name="_Toc49090512"/>
      <w:r>
        <w:rPr>
          <w:rFonts w:ascii="宋体" w:hAnsi="宋体" w:eastAsia="宋体"/>
          <w:sz w:val="24"/>
          <w:szCs w:val="24"/>
        </w:rPr>
        <w:t>1</w:t>
      </w:r>
      <w:r>
        <w:rPr>
          <w:rFonts w:hint="eastAsia" w:ascii="宋体" w:hAnsi="宋体" w:eastAsia="宋体"/>
          <w:sz w:val="24"/>
          <w:szCs w:val="24"/>
        </w:rPr>
        <w:t>7、投标文件份数和签署</w:t>
      </w:r>
      <w:bookmarkEnd w:id="108"/>
      <w:bookmarkEnd w:id="109"/>
    </w:p>
    <w:p>
      <w:pPr>
        <w:spacing w:line="500" w:lineRule="exact"/>
        <w:ind w:firstLine="480" w:firstLineChars="200"/>
        <w:rPr>
          <w:rFonts w:ascii="宋体" w:hAnsi="宋体"/>
          <w:bCs/>
          <w:sz w:val="24"/>
          <w:szCs w:val="24"/>
        </w:rPr>
      </w:pPr>
      <w:r>
        <w:rPr>
          <w:rFonts w:hint="eastAsia" w:ascii="宋体" w:hAnsi="宋体"/>
          <w:bCs/>
          <w:sz w:val="24"/>
          <w:szCs w:val="24"/>
        </w:rPr>
        <w:t>17.1 投标文件要求正本一份，副本肆份。</w:t>
      </w:r>
    </w:p>
    <w:p>
      <w:pPr>
        <w:spacing w:line="500" w:lineRule="exact"/>
        <w:ind w:firstLine="480" w:firstLineChars="200"/>
        <w:rPr>
          <w:rFonts w:ascii="宋体" w:hAnsi="宋体"/>
          <w:bCs/>
          <w:sz w:val="24"/>
          <w:szCs w:val="24"/>
        </w:rPr>
      </w:pPr>
      <w:r>
        <w:rPr>
          <w:rFonts w:hint="eastAsia" w:ascii="宋体" w:hAnsi="宋体"/>
          <w:bCs/>
          <w:sz w:val="24"/>
          <w:szCs w:val="24"/>
        </w:rPr>
        <w:t>17.2投标人应严格按照招标文件要求的份数准备投标文件，每份投标文件须清楚地标明“正本”或“副本”字样。一旦正本和副本不符，以正本为准。</w:t>
      </w:r>
    </w:p>
    <w:p>
      <w:pPr>
        <w:spacing w:line="500" w:lineRule="exact"/>
        <w:ind w:firstLine="480" w:firstLineChars="200"/>
        <w:rPr>
          <w:rFonts w:ascii="宋体" w:hAnsi="宋体"/>
          <w:bCs/>
          <w:sz w:val="24"/>
          <w:szCs w:val="24"/>
        </w:rPr>
      </w:pPr>
      <w:r>
        <w:rPr>
          <w:rFonts w:hint="eastAsia" w:ascii="宋体" w:hAnsi="宋体"/>
          <w:bCs/>
          <w:sz w:val="24"/>
          <w:szCs w:val="24"/>
        </w:rPr>
        <w:t>17.3招标文件要求提供的原件可直接放入投标文件封袋内或单独密封在一个封袋内，如果原件是单独密封的须在封袋上标明项目名称、投标人名称并在封口处密封并加盖投标人公章，与投标文件一起递交。投标文件正本中，文字材料需打印或用不褪色墨水书写。投标文件的正本须经法定代表人或授权委托人（被授权人）签署和加盖投标人公章。本采购文件所表述（指定）的公章是指法定名称章，不包括合同专用章、业务专用章等印章。（招标文件中要求提供原件的须在投标文件中提供复印件）</w:t>
      </w:r>
    </w:p>
    <w:p>
      <w:pPr>
        <w:spacing w:line="500" w:lineRule="exact"/>
        <w:ind w:firstLine="480" w:firstLineChars="200"/>
        <w:rPr>
          <w:rFonts w:asciiTheme="minorEastAsia" w:hAnsiTheme="minorEastAsia" w:eastAsiaTheme="minorEastAsia"/>
          <w:bCs/>
          <w:sz w:val="24"/>
          <w:szCs w:val="24"/>
        </w:rPr>
      </w:pPr>
      <w:r>
        <w:rPr>
          <w:rFonts w:hint="eastAsia" w:ascii="宋体" w:hAnsi="宋体"/>
          <w:bCs/>
          <w:sz w:val="24"/>
          <w:szCs w:val="24"/>
        </w:rPr>
        <w:t>17.4除投标人对错处做必要修改外，投标文件不得行间插字、涂改或增删。如有修改错漏处，必须由投标文件签署人签字或盖章。</w:t>
      </w:r>
    </w:p>
    <w:p>
      <w:pPr>
        <w:pStyle w:val="9"/>
        <w:spacing w:beforeLines="50" w:afterLines="50" w:line="500" w:lineRule="exact"/>
        <w:ind w:firstLine="361" w:firstLineChars="150"/>
        <w:rPr>
          <w:rFonts w:ascii="宋体"/>
          <w:sz w:val="24"/>
          <w:szCs w:val="24"/>
        </w:rPr>
      </w:pPr>
      <w:bookmarkStart w:id="110" w:name="_Toc20823296"/>
      <w:bookmarkStart w:id="111" w:name="_Toc16938540"/>
      <w:bookmarkStart w:id="112" w:name="_Toc513029224"/>
      <w:bookmarkStart w:id="113" w:name="_Toc120614217"/>
      <w:r>
        <w:rPr>
          <w:rFonts w:hint="eastAsia" w:ascii="宋体" w:hAnsi="宋体"/>
          <w:sz w:val="24"/>
          <w:szCs w:val="24"/>
        </w:rPr>
        <w:t>四、投标文件的递交</w:t>
      </w:r>
      <w:bookmarkEnd w:id="110"/>
      <w:bookmarkEnd w:id="111"/>
      <w:bookmarkEnd w:id="112"/>
      <w:bookmarkEnd w:id="113"/>
    </w:p>
    <w:p>
      <w:pPr>
        <w:pStyle w:val="10"/>
        <w:spacing w:before="0" w:after="0" w:line="500" w:lineRule="exact"/>
        <w:ind w:firstLine="482" w:firstLineChars="200"/>
        <w:rPr>
          <w:rFonts w:ascii="宋体" w:hAnsi="宋体" w:eastAsia="宋体"/>
          <w:sz w:val="24"/>
          <w:szCs w:val="24"/>
        </w:rPr>
      </w:pPr>
      <w:bookmarkStart w:id="114" w:name="_Toc513029225"/>
      <w:bookmarkStart w:id="115" w:name="_Toc462564084"/>
      <w:bookmarkStart w:id="116" w:name="_Toc16938541"/>
      <w:bookmarkStart w:id="117" w:name="_Toc20823297"/>
      <w:r>
        <w:rPr>
          <w:rFonts w:hint="eastAsia" w:ascii="宋体" w:hAnsi="宋体" w:eastAsia="宋体"/>
          <w:sz w:val="24"/>
          <w:szCs w:val="24"/>
        </w:rPr>
        <w:t>18、投标文件的密封和标记</w:t>
      </w:r>
      <w:bookmarkEnd w:id="114"/>
      <w:bookmarkEnd w:id="115"/>
      <w:bookmarkEnd w:id="116"/>
      <w:bookmarkEnd w:id="117"/>
    </w:p>
    <w:p>
      <w:pPr>
        <w:spacing w:line="500" w:lineRule="exact"/>
        <w:ind w:firstLine="480" w:firstLineChars="200"/>
        <w:rPr>
          <w:rFonts w:ascii="宋体" w:hAnsi="宋体"/>
          <w:sz w:val="24"/>
          <w:szCs w:val="24"/>
        </w:rPr>
      </w:pPr>
      <w:r>
        <w:rPr>
          <w:rFonts w:hint="eastAsia" w:ascii="宋体" w:hAnsi="宋体"/>
          <w:sz w:val="24"/>
          <w:szCs w:val="24"/>
        </w:rPr>
        <w:t>18.1投标人应将投标文件正本和所有副本密封，不论投标人中标与否，投标文件均不退回（投标原件除外）。</w:t>
      </w:r>
    </w:p>
    <w:p>
      <w:pPr>
        <w:spacing w:line="500" w:lineRule="exact"/>
        <w:ind w:firstLine="480" w:firstLineChars="200"/>
        <w:rPr>
          <w:rFonts w:ascii="宋体" w:hAnsi="宋体"/>
          <w:sz w:val="24"/>
          <w:szCs w:val="24"/>
        </w:rPr>
      </w:pPr>
      <w:r>
        <w:rPr>
          <w:rFonts w:hint="eastAsia" w:ascii="宋体" w:hAnsi="宋体"/>
          <w:sz w:val="24"/>
          <w:szCs w:val="24"/>
        </w:rPr>
        <w:t>18.2 密封的投标文件应：</w:t>
      </w:r>
    </w:p>
    <w:p>
      <w:pPr>
        <w:spacing w:line="500" w:lineRule="exact"/>
        <w:ind w:firstLine="480" w:firstLineChars="200"/>
        <w:rPr>
          <w:rFonts w:ascii="宋体" w:hAnsi="宋体"/>
          <w:sz w:val="24"/>
          <w:szCs w:val="24"/>
        </w:rPr>
      </w:pPr>
      <w:r>
        <w:rPr>
          <w:rFonts w:hint="eastAsia" w:ascii="宋体" w:hAnsi="宋体"/>
          <w:sz w:val="24"/>
          <w:szCs w:val="24"/>
        </w:rPr>
        <w:t>18.2.1 投标文件按招标文件的格式、样式要求装订、签署和盖章后装入封袋，封袋大小根据需要自行制作，在封袋上正确标明项目名称、投标人名称、包号。</w:t>
      </w:r>
    </w:p>
    <w:p>
      <w:pPr>
        <w:spacing w:line="500" w:lineRule="exact"/>
        <w:ind w:firstLine="480" w:firstLineChars="200"/>
        <w:rPr>
          <w:rFonts w:ascii="宋体" w:hAnsi="宋体"/>
          <w:sz w:val="24"/>
          <w:szCs w:val="24"/>
        </w:rPr>
      </w:pPr>
      <w:r>
        <w:rPr>
          <w:rFonts w:hint="eastAsia" w:ascii="宋体" w:hAnsi="宋体"/>
          <w:sz w:val="24"/>
          <w:szCs w:val="24"/>
        </w:rPr>
        <w:t>注明投标人名称，如因标注不清而产生的后果由投标人自负。按招标公告中注明的地址送达；</w:t>
      </w:r>
    </w:p>
    <w:p>
      <w:pPr>
        <w:spacing w:line="500" w:lineRule="exact"/>
        <w:ind w:firstLine="480" w:firstLineChars="200"/>
        <w:rPr>
          <w:rFonts w:ascii="宋体" w:hAnsi="宋体"/>
          <w:sz w:val="24"/>
          <w:szCs w:val="24"/>
        </w:rPr>
      </w:pPr>
      <w:r>
        <w:rPr>
          <w:rFonts w:hint="eastAsia" w:ascii="宋体" w:hAnsi="宋体"/>
          <w:sz w:val="24"/>
          <w:szCs w:val="24"/>
        </w:rPr>
        <w:t>18.2.2  所有投标文件装入封袋后都必须在封口处密封并加盖投标人公章。</w:t>
      </w:r>
    </w:p>
    <w:p>
      <w:pPr>
        <w:spacing w:line="500" w:lineRule="exact"/>
        <w:ind w:firstLine="480" w:firstLineChars="200"/>
        <w:rPr>
          <w:rFonts w:ascii="宋体"/>
          <w:bCs/>
          <w:sz w:val="24"/>
          <w:szCs w:val="24"/>
        </w:rPr>
      </w:pPr>
      <w:r>
        <w:rPr>
          <w:rFonts w:hint="eastAsia" w:ascii="宋体" w:hAnsi="宋体"/>
          <w:sz w:val="24"/>
          <w:szCs w:val="24"/>
        </w:rPr>
        <w:t>18.2.3  未按要求密封和加写标记的投标文件，采购人或采购代理机构对误投或过早启封概不负责。对由此造成提前开封的投标文件，采购中心将予以拒绝。</w:t>
      </w:r>
    </w:p>
    <w:p>
      <w:pPr>
        <w:pStyle w:val="10"/>
        <w:spacing w:before="0" w:after="0" w:line="500" w:lineRule="exact"/>
        <w:ind w:firstLine="482" w:firstLineChars="200"/>
        <w:rPr>
          <w:rFonts w:ascii="宋体" w:hAnsi="宋体" w:eastAsia="宋体"/>
          <w:sz w:val="24"/>
          <w:szCs w:val="24"/>
        </w:rPr>
      </w:pPr>
      <w:r>
        <w:rPr>
          <w:rFonts w:hint="eastAsia" w:ascii="宋体" w:hAnsi="宋体" w:eastAsia="宋体"/>
          <w:sz w:val="24"/>
          <w:szCs w:val="24"/>
        </w:rPr>
        <w:t>19、投标截止日期</w:t>
      </w:r>
    </w:p>
    <w:p>
      <w:pPr>
        <w:spacing w:line="500" w:lineRule="exact"/>
        <w:ind w:firstLine="480" w:firstLineChars="200"/>
        <w:rPr>
          <w:rFonts w:ascii="宋体" w:hAnsi="宋体"/>
          <w:sz w:val="24"/>
          <w:szCs w:val="24"/>
        </w:rPr>
      </w:pPr>
      <w:r>
        <w:rPr>
          <w:rFonts w:hint="eastAsia" w:ascii="宋体" w:hAnsi="宋体"/>
          <w:sz w:val="24"/>
          <w:szCs w:val="24"/>
        </w:rPr>
        <w:t>19.1 采购人或者采购代理机构收到投标文件的时间不得迟于招标公告中规定的截止时间。</w:t>
      </w:r>
    </w:p>
    <w:p>
      <w:pPr>
        <w:spacing w:line="500" w:lineRule="exact"/>
        <w:ind w:firstLine="480" w:firstLineChars="200"/>
        <w:rPr>
          <w:rFonts w:ascii="宋体"/>
          <w:bCs/>
          <w:sz w:val="24"/>
          <w:szCs w:val="24"/>
        </w:rPr>
      </w:pPr>
      <w:r>
        <w:rPr>
          <w:rFonts w:hint="eastAsia" w:ascii="宋体" w:hAnsi="宋体"/>
          <w:sz w:val="24"/>
          <w:szCs w:val="24"/>
        </w:rPr>
        <w:t>19.2 采购人有权通过修改招标文件酌情延长投标截止日期，在此情况下，投标人的所有权利和义务以及投标人受制的截止日期均应以延长后新的截止日期为准。</w:t>
      </w:r>
    </w:p>
    <w:p>
      <w:pPr>
        <w:pStyle w:val="10"/>
        <w:spacing w:before="0" w:after="0" w:line="500" w:lineRule="exact"/>
        <w:ind w:firstLine="482" w:firstLineChars="200"/>
        <w:rPr>
          <w:rFonts w:ascii="宋体" w:hAnsi="宋体" w:eastAsia="宋体"/>
          <w:b w:val="0"/>
          <w:bCs w:val="0"/>
          <w:sz w:val="24"/>
          <w:szCs w:val="24"/>
        </w:rPr>
      </w:pPr>
      <w:r>
        <w:rPr>
          <w:rFonts w:hint="eastAsia" w:ascii="宋体" w:hAnsi="宋体" w:eastAsia="宋体"/>
          <w:sz w:val="24"/>
          <w:szCs w:val="24"/>
        </w:rPr>
        <w:t>20、迟交的投标文件</w:t>
      </w:r>
    </w:p>
    <w:p>
      <w:pPr>
        <w:spacing w:line="500" w:lineRule="exact"/>
        <w:ind w:firstLine="600" w:firstLineChars="250"/>
        <w:rPr>
          <w:rFonts w:ascii="宋体" w:hAnsi="宋体"/>
          <w:sz w:val="24"/>
          <w:szCs w:val="24"/>
        </w:rPr>
      </w:pPr>
      <w:bookmarkStart w:id="118" w:name="_Toc120614218"/>
      <w:bookmarkStart w:id="119" w:name="_Toc20823301"/>
      <w:bookmarkStart w:id="120" w:name="_Toc16938545"/>
      <w:bookmarkStart w:id="121" w:name="_Toc513029229"/>
      <w:r>
        <w:rPr>
          <w:rFonts w:hint="eastAsia" w:ascii="宋体" w:hAnsi="宋体"/>
          <w:sz w:val="24"/>
          <w:szCs w:val="24"/>
        </w:rPr>
        <w:t xml:space="preserve"> 采购人、采购代理机构拒绝接收在其规定的投标截止时间后递交的任何投标文件。</w:t>
      </w:r>
    </w:p>
    <w:p>
      <w:pPr>
        <w:pStyle w:val="38"/>
        <w:ind w:firstLine="482"/>
        <w:rPr>
          <w:rFonts w:ascii="宋体" w:hAnsi="宋体" w:eastAsia="宋体" w:cs="Arial"/>
          <w:b/>
          <w:bCs/>
          <w:sz w:val="24"/>
          <w:szCs w:val="24"/>
        </w:rPr>
      </w:pPr>
      <w:bookmarkStart w:id="122" w:name="_Toc513029228"/>
      <w:bookmarkStart w:id="123" w:name="_Toc20823300"/>
      <w:bookmarkStart w:id="124" w:name="_Toc16938544"/>
      <w:r>
        <w:rPr>
          <w:rFonts w:hint="eastAsia" w:ascii="宋体" w:hAnsi="宋体" w:eastAsia="宋体" w:cs="Arial"/>
          <w:b/>
          <w:bCs/>
          <w:sz w:val="24"/>
          <w:szCs w:val="24"/>
        </w:rPr>
        <w:t>21、投标文件的修改和撤回</w:t>
      </w:r>
      <w:bookmarkEnd w:id="122"/>
      <w:bookmarkEnd w:id="123"/>
      <w:bookmarkEnd w:id="124"/>
    </w:p>
    <w:p>
      <w:pPr>
        <w:spacing w:line="480" w:lineRule="exact"/>
        <w:ind w:firstLine="480" w:firstLineChars="200"/>
        <w:rPr>
          <w:rFonts w:ascii="宋体" w:hAnsi="宋体"/>
          <w:color w:val="000000"/>
          <w:sz w:val="24"/>
          <w:szCs w:val="24"/>
        </w:rPr>
      </w:pPr>
      <w:r>
        <w:rPr>
          <w:rFonts w:hint="eastAsia" w:ascii="宋体" w:hAnsi="宋体"/>
          <w:color w:val="000000"/>
          <w:sz w:val="24"/>
        </w:rPr>
        <w:t>21.1</w:t>
      </w:r>
      <w:r>
        <w:rPr>
          <w:rFonts w:hint="eastAsia" w:ascii="宋体" w:hAnsi="宋体"/>
          <w:bCs/>
          <w:color w:val="000000"/>
          <w:sz w:val="24"/>
        </w:rPr>
        <w:t xml:space="preserve"> 投标人在递交投标文件后，可以修改或撤回其投标文件，但这种修改和撤回，必须在规定的投标截止时间前，以书面形式</w:t>
      </w:r>
      <w:r>
        <w:rPr>
          <w:rFonts w:hint="eastAsia" w:ascii="宋体" w:hAnsi="宋体"/>
          <w:color w:val="000000"/>
          <w:sz w:val="24"/>
          <w:szCs w:val="24"/>
        </w:rPr>
        <w:t>通知</w:t>
      </w:r>
      <w:r>
        <w:rPr>
          <w:rFonts w:hint="eastAsia" w:ascii="宋体" w:hAnsi="宋体"/>
          <w:bCs/>
          <w:color w:val="000000"/>
          <w:sz w:val="24"/>
          <w:szCs w:val="24"/>
        </w:rPr>
        <w:t>采购人或者采购代理机构</w:t>
      </w:r>
      <w:r>
        <w:rPr>
          <w:rFonts w:hint="eastAsia" w:ascii="宋体" w:hAnsi="宋体"/>
          <w:color w:val="000000"/>
          <w:sz w:val="24"/>
          <w:szCs w:val="24"/>
        </w:rPr>
        <w:t>，修改或撤回其投标文件。</w:t>
      </w:r>
    </w:p>
    <w:p>
      <w:pPr>
        <w:spacing w:line="480" w:lineRule="exact"/>
        <w:ind w:firstLine="480" w:firstLineChars="200"/>
        <w:rPr>
          <w:rFonts w:ascii="宋体" w:hAnsi="宋体"/>
          <w:color w:val="000000"/>
          <w:sz w:val="24"/>
          <w:szCs w:val="24"/>
        </w:rPr>
      </w:pPr>
      <w:r>
        <w:rPr>
          <w:rFonts w:hint="eastAsia" w:ascii="宋体" w:hAnsi="宋体"/>
          <w:color w:val="000000"/>
          <w:sz w:val="24"/>
        </w:rPr>
        <w:t>21.2</w:t>
      </w:r>
      <w:r>
        <w:rPr>
          <w:rFonts w:hint="eastAsia" w:ascii="宋体" w:hAnsi="宋体"/>
          <w:bCs/>
          <w:color w:val="000000"/>
          <w:sz w:val="24"/>
        </w:rPr>
        <w:t xml:space="preserve"> 投标人的修改或撤回文件应按规定进行编制、密封、标记和发送，并应在封套上加注“修改</w:t>
      </w:r>
      <w:r>
        <w:rPr>
          <w:rFonts w:ascii="宋体" w:hAnsi="宋体"/>
          <w:bCs/>
          <w:color w:val="000000"/>
          <w:sz w:val="24"/>
        </w:rPr>
        <w:t>”</w:t>
      </w:r>
      <w:r>
        <w:rPr>
          <w:rFonts w:hint="eastAsia" w:ascii="宋体" w:hAnsi="宋体"/>
          <w:bCs/>
          <w:color w:val="000000"/>
          <w:sz w:val="24"/>
        </w:rPr>
        <w:t>或“撤回</w:t>
      </w:r>
      <w:r>
        <w:rPr>
          <w:rFonts w:ascii="宋体" w:hAnsi="宋体"/>
          <w:bCs/>
          <w:color w:val="000000"/>
          <w:sz w:val="24"/>
        </w:rPr>
        <w:t>”</w:t>
      </w:r>
      <w:r>
        <w:rPr>
          <w:rFonts w:hint="eastAsia" w:ascii="宋体" w:hAnsi="宋体"/>
          <w:bCs/>
          <w:color w:val="000000"/>
          <w:sz w:val="24"/>
        </w:rPr>
        <w:t>字样。</w:t>
      </w:r>
      <w:r>
        <w:rPr>
          <w:rFonts w:hint="eastAsia" w:ascii="宋体" w:hAnsi="宋体"/>
          <w:color w:val="000000"/>
          <w:sz w:val="24"/>
          <w:szCs w:val="24"/>
        </w:rPr>
        <w:t>上述补充或修改若涉及投标报价，必须注明“最后唯一报价”字样，否则将视为有选择的报价。补充、修改的文件必须在投标截止时间前送达开标地点。</w:t>
      </w:r>
    </w:p>
    <w:p>
      <w:pPr>
        <w:spacing w:line="500" w:lineRule="exact"/>
        <w:ind w:firstLine="480" w:firstLineChars="200"/>
        <w:rPr>
          <w:rFonts w:ascii="宋体" w:hAnsi="宋体"/>
          <w:bCs/>
          <w:color w:val="000000"/>
          <w:sz w:val="24"/>
        </w:rPr>
      </w:pPr>
      <w:r>
        <w:rPr>
          <w:rFonts w:hint="eastAsia" w:ascii="宋体" w:hAnsi="宋体"/>
          <w:color w:val="000000"/>
          <w:sz w:val="24"/>
        </w:rPr>
        <w:t>21.3</w:t>
      </w:r>
      <w:r>
        <w:rPr>
          <w:rFonts w:hint="eastAsia" w:ascii="宋体" w:hAnsi="宋体"/>
          <w:bCs/>
          <w:color w:val="000000"/>
          <w:sz w:val="24"/>
        </w:rPr>
        <w:t xml:space="preserve"> 在投标截止时间之后，投标人不得对其投标文件作任何补充、修改。</w:t>
      </w:r>
    </w:p>
    <w:p>
      <w:pPr>
        <w:pStyle w:val="38"/>
        <w:ind w:firstLine="480"/>
        <w:rPr>
          <w:rFonts w:ascii="宋体" w:hAnsi="宋体" w:eastAsia="宋体"/>
          <w:bCs/>
          <w:color w:val="000000"/>
          <w:sz w:val="24"/>
          <w:szCs w:val="21"/>
        </w:rPr>
      </w:pPr>
      <w:r>
        <w:rPr>
          <w:rFonts w:hint="eastAsia" w:ascii="宋体" w:hAnsi="宋体" w:eastAsia="宋体"/>
          <w:bCs/>
          <w:color w:val="000000"/>
          <w:sz w:val="24"/>
          <w:szCs w:val="21"/>
        </w:rPr>
        <w:t>21.4 在投标截止时间至招标文件中规定的投标有效期满之间的这段时间内，投标人不得撤回其投标。</w:t>
      </w:r>
    </w:p>
    <w:p>
      <w:pPr>
        <w:pStyle w:val="9"/>
        <w:spacing w:beforeLines="50" w:afterLines="50" w:line="500" w:lineRule="exact"/>
        <w:ind w:firstLine="361" w:firstLineChars="150"/>
        <w:rPr>
          <w:rFonts w:ascii="宋体"/>
          <w:sz w:val="24"/>
          <w:szCs w:val="24"/>
        </w:rPr>
      </w:pPr>
      <w:r>
        <w:rPr>
          <w:rFonts w:hint="eastAsia" w:ascii="宋体" w:hAnsi="宋体"/>
          <w:sz w:val="24"/>
          <w:szCs w:val="24"/>
        </w:rPr>
        <w:t>五、开标与评标</w:t>
      </w:r>
      <w:bookmarkEnd w:id="118"/>
      <w:bookmarkEnd w:id="119"/>
      <w:bookmarkEnd w:id="120"/>
      <w:bookmarkEnd w:id="121"/>
    </w:p>
    <w:p>
      <w:pPr>
        <w:pStyle w:val="10"/>
        <w:spacing w:before="0" w:after="0" w:line="500" w:lineRule="exact"/>
        <w:ind w:firstLine="482" w:firstLineChars="200"/>
        <w:rPr>
          <w:rFonts w:ascii="宋体" w:hAnsi="宋体" w:eastAsia="宋体"/>
          <w:sz w:val="24"/>
          <w:szCs w:val="24"/>
        </w:rPr>
      </w:pPr>
      <w:bookmarkStart w:id="125" w:name="_Toc513029230"/>
      <w:bookmarkStart w:id="126" w:name="_Toc16938546"/>
      <w:bookmarkStart w:id="127" w:name="_Toc20823302"/>
      <w:r>
        <w:rPr>
          <w:rFonts w:ascii="宋体" w:hAnsi="宋体" w:eastAsia="宋体"/>
          <w:sz w:val="24"/>
          <w:szCs w:val="24"/>
        </w:rPr>
        <w:t>2</w:t>
      </w:r>
      <w:r>
        <w:rPr>
          <w:rFonts w:hint="eastAsia" w:ascii="宋体" w:hAnsi="宋体" w:eastAsia="宋体"/>
          <w:sz w:val="24"/>
          <w:szCs w:val="24"/>
        </w:rPr>
        <w:t>2、开标</w:t>
      </w:r>
      <w:bookmarkEnd w:id="125"/>
      <w:bookmarkEnd w:id="126"/>
      <w:bookmarkEnd w:id="127"/>
    </w:p>
    <w:p>
      <w:pPr>
        <w:spacing w:line="500" w:lineRule="exact"/>
        <w:ind w:firstLine="480" w:firstLineChars="200"/>
        <w:rPr>
          <w:rFonts w:ascii="宋体" w:hAnsi="宋体"/>
          <w:sz w:val="24"/>
          <w:szCs w:val="24"/>
        </w:rPr>
      </w:pPr>
      <w:r>
        <w:rPr>
          <w:rFonts w:hint="eastAsia" w:ascii="宋体" w:hAnsi="宋体"/>
          <w:sz w:val="24"/>
          <w:szCs w:val="24"/>
        </w:rPr>
        <w:t>22.1 开标在招标公告中规定的时间和地点组织公开开标。投标人应委派携带有效证件的代表准时参加，参加开标的代表需签名以证明其出席。</w:t>
      </w:r>
    </w:p>
    <w:p>
      <w:pPr>
        <w:spacing w:line="500" w:lineRule="exact"/>
        <w:ind w:firstLine="480" w:firstLineChars="200"/>
        <w:rPr>
          <w:rFonts w:ascii="宋体" w:hAnsi="宋体"/>
          <w:sz w:val="24"/>
          <w:szCs w:val="24"/>
        </w:rPr>
      </w:pPr>
      <w:r>
        <w:rPr>
          <w:rFonts w:hint="eastAsia" w:ascii="宋体" w:hAnsi="宋体"/>
          <w:sz w:val="24"/>
          <w:szCs w:val="24"/>
        </w:rPr>
        <w:t>22.2开标由采购人或者采购代理机构主持，邀请投标人参加。</w:t>
      </w:r>
    </w:p>
    <w:p>
      <w:pPr>
        <w:spacing w:line="500" w:lineRule="exact"/>
        <w:ind w:firstLine="480" w:firstLineChars="200"/>
        <w:rPr>
          <w:rFonts w:ascii="宋体" w:hAnsi="宋体"/>
          <w:sz w:val="24"/>
          <w:szCs w:val="24"/>
        </w:rPr>
      </w:pPr>
      <w:r>
        <w:rPr>
          <w:rFonts w:hint="eastAsia" w:ascii="宋体" w:hAnsi="宋体"/>
          <w:sz w:val="24"/>
          <w:szCs w:val="24"/>
        </w:rPr>
        <w:t>22.3 按照规定同意撤回的投标将不予开封。</w:t>
      </w:r>
    </w:p>
    <w:p>
      <w:pPr>
        <w:spacing w:line="500" w:lineRule="exact"/>
        <w:ind w:firstLine="480" w:firstLineChars="200"/>
        <w:rPr>
          <w:rFonts w:ascii="宋体" w:hAnsi="宋体"/>
          <w:sz w:val="24"/>
          <w:szCs w:val="24"/>
        </w:rPr>
      </w:pPr>
      <w:r>
        <w:rPr>
          <w:rFonts w:hint="eastAsia" w:ascii="宋体" w:hAnsi="宋体"/>
          <w:sz w:val="24"/>
          <w:szCs w:val="24"/>
        </w:rPr>
        <w:t>22.4 开标时请投标人代表查验投标文件密封情况，确认无误后，由采购人或者采购代理机构工作人员当众拆封宣布投标人开标一览表和招标文件规定的需要宣布的其他内容。开标时未宣布的投标报价信息，不得在评标时采用。</w:t>
      </w:r>
    </w:p>
    <w:p>
      <w:pPr>
        <w:spacing w:line="500" w:lineRule="exact"/>
        <w:ind w:firstLine="480" w:firstLineChars="200"/>
        <w:rPr>
          <w:rFonts w:ascii="宋体" w:hAnsi="宋体"/>
          <w:sz w:val="24"/>
          <w:szCs w:val="24"/>
        </w:rPr>
      </w:pPr>
      <w:r>
        <w:rPr>
          <w:rFonts w:hint="eastAsia" w:ascii="宋体" w:hAnsi="宋体"/>
          <w:sz w:val="24"/>
          <w:szCs w:val="24"/>
        </w:rPr>
        <w:t>22.5 采购人或者采购代理机构负责记录开标过程，由参加开标的各投标人代表和相关工作人员签字确认后随采购文件一并存档。</w:t>
      </w:r>
    </w:p>
    <w:p>
      <w:pPr>
        <w:spacing w:line="500" w:lineRule="exact"/>
        <w:ind w:firstLine="480" w:firstLineChars="200"/>
        <w:rPr>
          <w:rFonts w:ascii="宋体" w:hAnsi="宋体"/>
          <w:sz w:val="24"/>
          <w:szCs w:val="24"/>
        </w:rPr>
      </w:pPr>
      <w:r>
        <w:rPr>
          <w:rFonts w:hint="eastAsia" w:ascii="宋体" w:hAnsi="宋体"/>
          <w:sz w:val="24"/>
          <w:szCs w:val="24"/>
        </w:rPr>
        <w:t>22.6 投标人在报价时不允许采用选择性报价，否则将被视为无效投标。</w:t>
      </w:r>
    </w:p>
    <w:p>
      <w:pPr>
        <w:spacing w:line="500" w:lineRule="exact"/>
        <w:ind w:firstLine="480" w:firstLineChars="200"/>
        <w:rPr>
          <w:rFonts w:ascii="宋体"/>
          <w:sz w:val="24"/>
          <w:szCs w:val="24"/>
        </w:rPr>
      </w:pPr>
      <w:r>
        <w:rPr>
          <w:rFonts w:hint="eastAsia" w:ascii="宋体" w:hAnsi="宋体"/>
          <w:sz w:val="24"/>
          <w:szCs w:val="24"/>
        </w:rPr>
        <w:t>22.7投标人未参加开标的，视同认可开标结果。</w:t>
      </w:r>
    </w:p>
    <w:p>
      <w:pPr>
        <w:pStyle w:val="10"/>
        <w:spacing w:before="0" w:after="0" w:line="500" w:lineRule="exact"/>
        <w:ind w:firstLine="482" w:firstLineChars="200"/>
        <w:rPr>
          <w:rFonts w:ascii="宋体" w:hAnsi="宋体" w:eastAsia="宋体"/>
          <w:sz w:val="24"/>
          <w:szCs w:val="24"/>
        </w:rPr>
      </w:pPr>
      <w:bookmarkStart w:id="128" w:name="_Toc513029231"/>
      <w:bookmarkStart w:id="129" w:name="_Toc20823303"/>
      <w:bookmarkStart w:id="130" w:name="_Toc16938547"/>
      <w:r>
        <w:rPr>
          <w:rFonts w:hint="eastAsia" w:ascii="宋体" w:hAnsi="宋体" w:eastAsia="宋体"/>
          <w:sz w:val="24"/>
          <w:szCs w:val="24"/>
        </w:rPr>
        <w:t>23、资格审查</w:t>
      </w:r>
    </w:p>
    <w:p>
      <w:pPr>
        <w:spacing w:line="500" w:lineRule="exact"/>
        <w:ind w:firstLine="480" w:firstLineChars="200"/>
        <w:rPr>
          <w:rFonts w:ascii="宋体" w:hAnsi="宋体"/>
          <w:sz w:val="24"/>
          <w:szCs w:val="24"/>
        </w:rPr>
      </w:pPr>
      <w:r>
        <w:rPr>
          <w:rFonts w:hint="eastAsia" w:ascii="宋体" w:hAnsi="宋体"/>
          <w:sz w:val="24"/>
          <w:szCs w:val="24"/>
        </w:rPr>
        <w:t>依据法律法规和招标文件的约定，开标结束后，由采购人对投标文件中的资格证明文件进行审查。资格审查的结论，采购人以书面形式向评委会进行反馈。未通过资格审查的投标人，由采购人告知未通过资格审查的原因。</w:t>
      </w:r>
    </w:p>
    <w:p>
      <w:pPr>
        <w:spacing w:line="500" w:lineRule="exact"/>
        <w:ind w:firstLine="480" w:firstLineChars="200"/>
        <w:rPr>
          <w:rFonts w:ascii="宋体" w:hAnsi="宋体"/>
          <w:sz w:val="24"/>
          <w:szCs w:val="24"/>
        </w:rPr>
      </w:pPr>
      <w:r>
        <w:rPr>
          <w:rFonts w:hint="eastAsia" w:ascii="宋体" w:hAnsi="宋体"/>
          <w:sz w:val="24"/>
          <w:szCs w:val="24"/>
        </w:rPr>
        <w:t>采购人在进行资格性审查的同时，将在“信用中国”网站（www.creditchina.gov.cn）对投标人是否被列入失信被执行人、重大税收违法案件当事人名单、政府采购严重失信行为记录名单情况进行查询，以确定投标人是否具备投标资格。查询结果将以网页打印的形式留存并归档。</w:t>
      </w:r>
    </w:p>
    <w:p>
      <w:pPr>
        <w:spacing w:line="500" w:lineRule="exact"/>
        <w:ind w:firstLine="480" w:firstLineChars="200"/>
        <w:rPr>
          <w:rFonts w:ascii="宋体" w:hAnsi="宋体"/>
          <w:sz w:val="24"/>
          <w:szCs w:val="24"/>
        </w:rPr>
      </w:pPr>
      <w:r>
        <w:rPr>
          <w:rFonts w:hint="eastAsia" w:ascii="宋体" w:hAnsi="宋体"/>
          <w:sz w:val="24"/>
          <w:szCs w:val="24"/>
        </w:rPr>
        <w:t>接受联合体的项目，两个以上的自然人、法人或者其他组织组成一个联合体，以一个供应商的身份共同参加政府采购活动的,联合体成员存在不良信用记录的，视同联合体存在不良应用记录。</w:t>
      </w:r>
    </w:p>
    <w:p>
      <w:pPr>
        <w:spacing w:line="500" w:lineRule="exact"/>
        <w:ind w:firstLine="480" w:firstLineChars="200"/>
        <w:rPr>
          <w:rFonts w:ascii="宋体"/>
          <w:sz w:val="24"/>
          <w:szCs w:val="24"/>
        </w:rPr>
      </w:pPr>
      <w:r>
        <w:rPr>
          <w:rFonts w:hint="eastAsia" w:ascii="宋体" w:hAnsi="宋体"/>
          <w:sz w:val="24"/>
          <w:szCs w:val="24"/>
        </w:rPr>
        <w:t>合格投标人不足3家的，不得评标。</w:t>
      </w:r>
    </w:p>
    <w:p>
      <w:pPr>
        <w:pStyle w:val="10"/>
        <w:spacing w:before="0" w:after="0" w:line="500" w:lineRule="exact"/>
        <w:ind w:firstLine="482" w:firstLineChars="200"/>
        <w:rPr>
          <w:rFonts w:ascii="宋体" w:hAnsi="宋体" w:eastAsia="宋体"/>
          <w:sz w:val="24"/>
          <w:szCs w:val="24"/>
        </w:rPr>
      </w:pPr>
      <w:r>
        <w:rPr>
          <w:rFonts w:hint="eastAsia" w:ascii="宋体" w:hAnsi="宋体" w:eastAsia="宋体"/>
          <w:sz w:val="24"/>
          <w:szCs w:val="24"/>
        </w:rPr>
        <w:t>24、评标委员会</w:t>
      </w:r>
    </w:p>
    <w:bookmarkEnd w:id="128"/>
    <w:bookmarkEnd w:id="129"/>
    <w:bookmarkEnd w:id="130"/>
    <w:p>
      <w:pPr>
        <w:spacing w:line="500" w:lineRule="exact"/>
        <w:ind w:firstLine="480" w:firstLineChars="200"/>
        <w:rPr>
          <w:rFonts w:ascii="宋体" w:hAnsi="宋体"/>
          <w:sz w:val="24"/>
          <w:szCs w:val="24"/>
        </w:rPr>
      </w:pPr>
      <w:r>
        <w:rPr>
          <w:rFonts w:hint="eastAsia" w:ascii="宋体" w:hAnsi="宋体"/>
          <w:sz w:val="24"/>
          <w:szCs w:val="24"/>
        </w:rPr>
        <w:t>24.1 资格审查通过后，组织评标委员会（以下简称评委会）进行评标。</w:t>
      </w:r>
    </w:p>
    <w:p>
      <w:pPr>
        <w:spacing w:line="500" w:lineRule="exact"/>
        <w:ind w:firstLine="480" w:firstLineChars="200"/>
        <w:rPr>
          <w:rFonts w:ascii="宋体" w:hAnsi="宋体"/>
          <w:sz w:val="24"/>
          <w:szCs w:val="24"/>
        </w:rPr>
      </w:pPr>
      <w:r>
        <w:rPr>
          <w:rFonts w:hint="eastAsia" w:ascii="宋体" w:hAnsi="宋体"/>
          <w:sz w:val="24"/>
          <w:szCs w:val="24"/>
        </w:rPr>
        <w:t>24.2 评委会由采购人代表和有关技术、经济等方面的专家组成，且人员构成符合政府采购有关规定。</w:t>
      </w:r>
    </w:p>
    <w:p>
      <w:pPr>
        <w:spacing w:line="500" w:lineRule="exact"/>
        <w:ind w:firstLine="480" w:firstLineChars="200"/>
        <w:rPr>
          <w:rFonts w:ascii="宋体" w:hAnsi="宋体"/>
          <w:sz w:val="24"/>
          <w:szCs w:val="24"/>
        </w:rPr>
      </w:pPr>
      <w:r>
        <w:rPr>
          <w:rFonts w:hint="eastAsia" w:ascii="宋体" w:hAnsi="宋体"/>
          <w:sz w:val="24"/>
          <w:szCs w:val="24"/>
        </w:rPr>
        <w:t>24.3评标委员会负责具体评标事务，并独立履行下列职责：</w:t>
      </w:r>
    </w:p>
    <w:p>
      <w:pPr>
        <w:spacing w:line="500" w:lineRule="exact"/>
        <w:ind w:firstLine="480" w:firstLineChars="200"/>
        <w:rPr>
          <w:rFonts w:ascii="宋体" w:hAnsi="宋体"/>
          <w:sz w:val="24"/>
          <w:szCs w:val="24"/>
        </w:rPr>
      </w:pPr>
      <w:r>
        <w:rPr>
          <w:rFonts w:hint="eastAsia" w:ascii="宋体" w:hAnsi="宋体"/>
          <w:sz w:val="24"/>
          <w:szCs w:val="24"/>
        </w:rPr>
        <w:t>24.3.1审查、评价投标文件是否符合招标文件的商务、技术等实质性要求；</w:t>
      </w:r>
    </w:p>
    <w:p>
      <w:pPr>
        <w:spacing w:line="500" w:lineRule="exact"/>
        <w:ind w:firstLine="480" w:firstLineChars="200"/>
        <w:rPr>
          <w:rFonts w:ascii="宋体" w:hAnsi="宋体"/>
          <w:sz w:val="24"/>
          <w:szCs w:val="24"/>
        </w:rPr>
      </w:pPr>
      <w:r>
        <w:rPr>
          <w:rFonts w:hint="eastAsia" w:ascii="宋体" w:hAnsi="宋体"/>
          <w:sz w:val="24"/>
          <w:szCs w:val="24"/>
        </w:rPr>
        <w:t>24.3.2要求投标人对投标文件有关事项作出澄清或者说明；</w:t>
      </w:r>
    </w:p>
    <w:p>
      <w:pPr>
        <w:spacing w:line="500" w:lineRule="exact"/>
        <w:ind w:firstLine="480" w:firstLineChars="200"/>
        <w:rPr>
          <w:rFonts w:ascii="宋体" w:hAnsi="宋体"/>
          <w:sz w:val="24"/>
          <w:szCs w:val="24"/>
        </w:rPr>
      </w:pPr>
      <w:r>
        <w:rPr>
          <w:rFonts w:hint="eastAsia" w:ascii="宋体" w:hAnsi="宋体"/>
          <w:sz w:val="24"/>
          <w:szCs w:val="24"/>
        </w:rPr>
        <w:t>24.3.3对投标文件进行比较和评价；</w:t>
      </w:r>
    </w:p>
    <w:p>
      <w:pPr>
        <w:spacing w:line="500" w:lineRule="exact"/>
        <w:ind w:firstLine="480" w:firstLineChars="200"/>
        <w:rPr>
          <w:rFonts w:ascii="宋体" w:hAnsi="宋体"/>
          <w:sz w:val="24"/>
          <w:szCs w:val="24"/>
        </w:rPr>
      </w:pPr>
      <w:r>
        <w:rPr>
          <w:rFonts w:hint="eastAsia" w:ascii="宋体" w:hAnsi="宋体"/>
          <w:sz w:val="24"/>
          <w:szCs w:val="24"/>
        </w:rPr>
        <w:t>24.3.4确定中标候选人名单，以及根据采购人委托直接确定中标人；</w:t>
      </w:r>
    </w:p>
    <w:p>
      <w:pPr>
        <w:spacing w:line="500" w:lineRule="exact"/>
        <w:ind w:firstLine="480" w:firstLineChars="200"/>
        <w:rPr>
          <w:rFonts w:ascii="宋体" w:hAnsi="宋体"/>
          <w:sz w:val="24"/>
          <w:szCs w:val="24"/>
        </w:rPr>
      </w:pPr>
      <w:r>
        <w:rPr>
          <w:rFonts w:hint="eastAsia" w:ascii="宋体" w:hAnsi="宋体"/>
          <w:sz w:val="24"/>
          <w:szCs w:val="24"/>
        </w:rPr>
        <w:t>24.3.5向采购人、采购代理机构或者有关部门报告评标中发现的违法行为。</w:t>
      </w:r>
    </w:p>
    <w:p>
      <w:pPr>
        <w:spacing w:line="500" w:lineRule="exact"/>
        <w:ind w:firstLine="480" w:firstLineChars="200"/>
        <w:rPr>
          <w:rFonts w:ascii="宋体"/>
          <w:sz w:val="24"/>
          <w:szCs w:val="24"/>
        </w:rPr>
      </w:pPr>
      <w:r>
        <w:rPr>
          <w:rFonts w:hint="eastAsia" w:ascii="宋体" w:hAnsi="宋体"/>
          <w:sz w:val="24"/>
          <w:szCs w:val="24"/>
        </w:rPr>
        <w:t>24.4评委会独立工作，负责评审所有投标文件并确定中标侯选人。</w:t>
      </w:r>
    </w:p>
    <w:p>
      <w:pPr>
        <w:pStyle w:val="10"/>
        <w:spacing w:before="0" w:after="0" w:line="500" w:lineRule="exact"/>
        <w:ind w:firstLine="482" w:firstLineChars="200"/>
        <w:rPr>
          <w:rFonts w:ascii="宋体" w:hAnsi="宋体" w:eastAsia="宋体"/>
          <w:sz w:val="24"/>
          <w:szCs w:val="24"/>
        </w:rPr>
      </w:pPr>
      <w:r>
        <w:rPr>
          <w:rFonts w:hint="eastAsia" w:ascii="宋体" w:hAnsi="宋体" w:eastAsia="宋体"/>
          <w:sz w:val="24"/>
          <w:szCs w:val="24"/>
        </w:rPr>
        <w:t>25、评标过程的保密与公正</w:t>
      </w:r>
    </w:p>
    <w:p>
      <w:pPr>
        <w:spacing w:line="460" w:lineRule="exact"/>
        <w:ind w:firstLine="480" w:firstLineChars="200"/>
        <w:rPr>
          <w:rFonts w:ascii="宋体" w:hAnsi="宋体"/>
          <w:sz w:val="24"/>
          <w:szCs w:val="24"/>
        </w:rPr>
      </w:pPr>
      <w:r>
        <w:rPr>
          <w:rFonts w:hint="eastAsia" w:ascii="宋体" w:hAnsi="宋体"/>
          <w:sz w:val="24"/>
          <w:szCs w:val="24"/>
        </w:rPr>
        <w:t>25.1公开开标后，直至签订合同之日止，凡是与审查、澄清、评价和比较投标的有关资料以及授标建议等，采购人、评委、采购代理机构均不得向投标人或与评标无关的其他人员透露。</w:t>
      </w:r>
    </w:p>
    <w:p>
      <w:pPr>
        <w:spacing w:line="460" w:lineRule="exact"/>
        <w:ind w:firstLine="480" w:firstLineChars="200"/>
        <w:rPr>
          <w:rFonts w:ascii="宋体" w:hAnsi="宋体"/>
          <w:sz w:val="24"/>
          <w:szCs w:val="24"/>
        </w:rPr>
      </w:pPr>
      <w:r>
        <w:rPr>
          <w:rFonts w:hint="eastAsia" w:ascii="宋体" w:hAnsi="宋体"/>
          <w:sz w:val="24"/>
          <w:szCs w:val="24"/>
        </w:rPr>
        <w:t>25.2在评标过程中，投标人不得以任何行为影响评标过程，否则其投标文件将被作为无效投标文件。</w:t>
      </w:r>
    </w:p>
    <w:p>
      <w:pPr>
        <w:spacing w:line="460" w:lineRule="exact"/>
        <w:ind w:firstLine="480" w:firstLineChars="200"/>
        <w:rPr>
          <w:rFonts w:ascii="宋体" w:hAnsi="宋体"/>
          <w:sz w:val="24"/>
        </w:rPr>
      </w:pPr>
      <w:r>
        <w:rPr>
          <w:rFonts w:hint="eastAsia" w:ascii="宋体" w:hAnsi="宋体"/>
          <w:sz w:val="24"/>
          <w:szCs w:val="24"/>
        </w:rPr>
        <w:t>25.3 有关人员对评标情况以及在评标过程中获悉的国家秘密、商业秘密负有保密责任。</w:t>
      </w:r>
    </w:p>
    <w:p>
      <w:pPr>
        <w:spacing w:line="500" w:lineRule="exact"/>
        <w:ind w:firstLine="482" w:firstLineChars="200"/>
        <w:rPr>
          <w:rFonts w:ascii="宋体"/>
          <w:b/>
          <w:sz w:val="24"/>
          <w:szCs w:val="24"/>
        </w:rPr>
      </w:pPr>
      <w:r>
        <w:rPr>
          <w:rFonts w:hint="eastAsia" w:ascii="宋体" w:hAnsi="宋体"/>
          <w:b/>
          <w:sz w:val="24"/>
          <w:szCs w:val="24"/>
        </w:rPr>
        <w:t>26、投标的澄清</w:t>
      </w:r>
    </w:p>
    <w:p>
      <w:pPr>
        <w:spacing w:line="500" w:lineRule="exact"/>
        <w:ind w:firstLine="480" w:firstLineChars="200"/>
        <w:rPr>
          <w:rFonts w:ascii="宋体" w:hAnsi="宋体"/>
          <w:sz w:val="24"/>
          <w:szCs w:val="24"/>
        </w:rPr>
      </w:pPr>
      <w:r>
        <w:rPr>
          <w:rFonts w:hint="eastAsia" w:ascii="宋体" w:hAnsi="宋体"/>
          <w:sz w:val="24"/>
          <w:szCs w:val="24"/>
        </w:rPr>
        <w:t>26.1评标期间，为有助于对投标文件的审查、评价和比较，评委会有权以书面形式要求投标人对其投标文件进行澄清，但并非对每个投标人都作澄清要求。</w:t>
      </w:r>
    </w:p>
    <w:p>
      <w:pPr>
        <w:spacing w:line="500" w:lineRule="exact"/>
        <w:ind w:firstLine="480" w:firstLineChars="200"/>
        <w:rPr>
          <w:rFonts w:ascii="宋体" w:hAnsi="宋体"/>
          <w:sz w:val="24"/>
          <w:szCs w:val="24"/>
        </w:rPr>
      </w:pPr>
      <w:r>
        <w:rPr>
          <w:rFonts w:hint="eastAsia" w:ascii="宋体" w:hAnsi="宋体"/>
          <w:sz w:val="24"/>
          <w:szCs w:val="24"/>
        </w:rPr>
        <w:t>26.2接到评委会澄清要求的投标人应派人按评委会通知的时间和地点做出书面澄清，书面澄清的内容须由投标人法人或授权代表签署，并作为投标文件的补充部分，但投标的价格和实质性的内容不得做任何更改。</w:t>
      </w:r>
    </w:p>
    <w:p>
      <w:pPr>
        <w:spacing w:line="500" w:lineRule="exact"/>
        <w:ind w:firstLine="480" w:firstLineChars="200"/>
        <w:rPr>
          <w:rFonts w:ascii="宋体"/>
          <w:sz w:val="24"/>
          <w:szCs w:val="24"/>
        </w:rPr>
      </w:pPr>
      <w:r>
        <w:rPr>
          <w:rFonts w:hint="eastAsia" w:ascii="宋体" w:hAnsi="宋体"/>
          <w:sz w:val="24"/>
          <w:szCs w:val="24"/>
        </w:rPr>
        <w:t>26.3 接到评委会澄清要求的投标人如未按规定做出澄清，其风险由投标人自行承担。</w:t>
      </w:r>
    </w:p>
    <w:p>
      <w:pPr>
        <w:pStyle w:val="10"/>
        <w:spacing w:before="0" w:after="0" w:line="500" w:lineRule="exact"/>
        <w:ind w:firstLine="482" w:firstLineChars="200"/>
        <w:rPr>
          <w:rFonts w:ascii="宋体" w:hAnsi="宋体" w:eastAsia="宋体"/>
          <w:sz w:val="24"/>
          <w:szCs w:val="24"/>
        </w:rPr>
      </w:pPr>
      <w:r>
        <w:rPr>
          <w:rFonts w:hint="eastAsia" w:ascii="宋体" w:hAnsi="宋体" w:eastAsia="宋体"/>
          <w:sz w:val="24"/>
          <w:szCs w:val="24"/>
        </w:rPr>
        <w:t>27、对投标文件的评审</w:t>
      </w:r>
    </w:p>
    <w:p>
      <w:pPr>
        <w:widowControl/>
        <w:spacing w:before="100" w:beforeAutospacing="1" w:after="240" w:line="500" w:lineRule="exact"/>
        <w:ind w:firstLine="480" w:firstLineChars="200"/>
        <w:contextualSpacing/>
        <w:jc w:val="left"/>
        <w:rPr>
          <w:rFonts w:ascii="宋体" w:hAnsi="宋体"/>
          <w:sz w:val="24"/>
          <w:szCs w:val="24"/>
        </w:rPr>
      </w:pPr>
      <w:bookmarkStart w:id="131" w:name="_Toc20823307"/>
      <w:bookmarkStart w:id="132" w:name="_Toc16938551"/>
      <w:bookmarkStart w:id="133" w:name="_Toc513029235"/>
      <w:r>
        <w:rPr>
          <w:rFonts w:hint="eastAsia" w:ascii="宋体" w:hAnsi="宋体"/>
          <w:sz w:val="24"/>
          <w:szCs w:val="24"/>
        </w:rPr>
        <w:t>27.1符合性检查：依据招标文件的规定，从投标文件的有效性、完整性和对招标文件的响应程度进行审查，以确定是否对招标文件的实质性要求作出响应。</w:t>
      </w:r>
    </w:p>
    <w:p>
      <w:pPr>
        <w:widowControl/>
        <w:spacing w:before="100" w:beforeAutospacing="1" w:after="240" w:line="500" w:lineRule="exact"/>
        <w:ind w:firstLine="480" w:firstLineChars="200"/>
        <w:contextualSpacing/>
        <w:jc w:val="left"/>
        <w:rPr>
          <w:rFonts w:ascii="宋体" w:hAnsi="宋体"/>
          <w:sz w:val="24"/>
          <w:szCs w:val="24"/>
        </w:rPr>
      </w:pPr>
      <w:r>
        <w:rPr>
          <w:rFonts w:hint="eastAsia" w:ascii="宋体" w:hAnsi="宋体"/>
          <w:sz w:val="24"/>
          <w:szCs w:val="24"/>
        </w:rPr>
        <w:t>27.2在详细评标之前，评委会将首先审查每份投标文件是否实质性响应了招标文件的要求。实质性响应的投标应该是与招标文件要求的全部条款、条件和规格相符，没有重大偏离或保留的投标。</w:t>
      </w:r>
    </w:p>
    <w:p>
      <w:pPr>
        <w:widowControl/>
        <w:spacing w:before="100" w:beforeAutospacing="1" w:after="240" w:line="500" w:lineRule="exact"/>
        <w:ind w:firstLine="480" w:firstLineChars="200"/>
        <w:contextualSpacing/>
        <w:jc w:val="left"/>
        <w:rPr>
          <w:rFonts w:ascii="宋体" w:hAnsi="宋体"/>
          <w:sz w:val="24"/>
          <w:szCs w:val="24"/>
        </w:rPr>
      </w:pPr>
      <w:r>
        <w:rPr>
          <w:rFonts w:hint="eastAsia" w:ascii="宋体" w:hAnsi="宋体"/>
          <w:sz w:val="24"/>
          <w:szCs w:val="24"/>
        </w:rPr>
        <w:t>所谓重大偏离或保留是指与招标文件规定的实质性要求存在负偏离，或者在实质上与招标文件不一致，而且限制了合同中买方和见证方的权利或投标人的义务，纠正这些偏离或保留将会对其他实质性响应要求的投标人的竞争地位产生不公正的影响。是否属于重大偏离由评委会按照少数服从多数的原则作出结论。认定评委决定投标文件的响应性只根据投标文件本身的内容，而不寻求外部的证据。</w:t>
      </w:r>
    </w:p>
    <w:p>
      <w:pPr>
        <w:widowControl/>
        <w:spacing w:before="100" w:beforeAutospacing="1" w:after="240" w:line="500" w:lineRule="exact"/>
        <w:ind w:firstLine="480" w:firstLineChars="200"/>
        <w:contextualSpacing/>
        <w:jc w:val="left"/>
        <w:rPr>
          <w:rFonts w:ascii="宋体" w:hAnsi="宋体"/>
          <w:sz w:val="24"/>
          <w:szCs w:val="24"/>
        </w:rPr>
      </w:pPr>
      <w:r>
        <w:rPr>
          <w:rFonts w:hint="eastAsia" w:ascii="宋体" w:hAnsi="宋体"/>
          <w:sz w:val="24"/>
          <w:szCs w:val="24"/>
        </w:rPr>
        <w:t>27.3如果投标文件实质上没有响应招标文件的要求，评委会将按无效投标处理，投标人不得通过修改或撤销不合要求的偏离或保留而使其投标成为实质性响应的投标。</w:t>
      </w:r>
    </w:p>
    <w:p>
      <w:pPr>
        <w:widowControl/>
        <w:spacing w:before="100" w:beforeAutospacing="1" w:after="240" w:line="500" w:lineRule="exact"/>
        <w:ind w:firstLine="480" w:firstLineChars="200"/>
        <w:contextualSpacing/>
        <w:jc w:val="left"/>
        <w:rPr>
          <w:rFonts w:ascii="宋体" w:hAnsi="宋体"/>
          <w:sz w:val="24"/>
          <w:szCs w:val="24"/>
        </w:rPr>
      </w:pPr>
      <w:r>
        <w:rPr>
          <w:rFonts w:hint="eastAsia" w:ascii="宋体" w:hAnsi="宋体"/>
          <w:sz w:val="24"/>
          <w:szCs w:val="24"/>
        </w:rPr>
        <w:t>27.4评委会将对确定为实质性响应的投标进行进一步审核，看其是否有计算上或累加上的算术错误，修正错误的原则如下：</w:t>
      </w:r>
    </w:p>
    <w:p>
      <w:pPr>
        <w:widowControl/>
        <w:spacing w:before="100" w:beforeAutospacing="1" w:after="240" w:line="500" w:lineRule="exact"/>
        <w:ind w:firstLine="480" w:firstLineChars="200"/>
        <w:contextualSpacing/>
        <w:jc w:val="left"/>
        <w:rPr>
          <w:rFonts w:ascii="宋体" w:hAnsi="宋体"/>
          <w:sz w:val="24"/>
          <w:szCs w:val="24"/>
        </w:rPr>
      </w:pPr>
      <w:r>
        <w:rPr>
          <w:rFonts w:hint="eastAsia" w:ascii="宋体" w:hAnsi="宋体"/>
          <w:sz w:val="24"/>
          <w:szCs w:val="24"/>
        </w:rPr>
        <w:t>（1）投标文件中开标一览表内容与投标文件中相应内容不一致的，以开标一览表为准。</w:t>
      </w:r>
    </w:p>
    <w:p>
      <w:pPr>
        <w:widowControl/>
        <w:spacing w:before="100" w:beforeAutospacing="1" w:after="240" w:line="500" w:lineRule="exact"/>
        <w:ind w:firstLine="480" w:firstLineChars="200"/>
        <w:contextualSpacing/>
        <w:jc w:val="left"/>
        <w:rPr>
          <w:rFonts w:ascii="宋体" w:hAnsi="宋体"/>
          <w:sz w:val="24"/>
          <w:szCs w:val="24"/>
        </w:rPr>
      </w:pPr>
      <w:r>
        <w:rPr>
          <w:rFonts w:hint="eastAsia" w:ascii="宋体" w:hAnsi="宋体"/>
          <w:sz w:val="24"/>
          <w:szCs w:val="24"/>
        </w:rPr>
        <w:t>（2）大写金额和小写金额不一致的，以大写金额为准。</w:t>
      </w:r>
    </w:p>
    <w:p>
      <w:pPr>
        <w:widowControl/>
        <w:spacing w:before="100" w:beforeAutospacing="1" w:after="240" w:line="500" w:lineRule="exact"/>
        <w:ind w:firstLine="480" w:firstLineChars="200"/>
        <w:contextualSpacing/>
        <w:jc w:val="left"/>
        <w:rPr>
          <w:rFonts w:ascii="宋体" w:hAnsi="宋体"/>
          <w:sz w:val="24"/>
          <w:szCs w:val="24"/>
        </w:rPr>
      </w:pPr>
      <w:r>
        <w:rPr>
          <w:rFonts w:hint="eastAsia" w:ascii="宋体" w:hAnsi="宋体"/>
          <w:sz w:val="24"/>
          <w:szCs w:val="24"/>
        </w:rPr>
        <w:t>（3）单价金额小数点或者百分比有明显错位的，以开标一览表的总价为准，并修改单价。</w:t>
      </w:r>
    </w:p>
    <w:p>
      <w:pPr>
        <w:widowControl/>
        <w:spacing w:before="100" w:beforeAutospacing="1" w:after="240" w:line="500" w:lineRule="exact"/>
        <w:ind w:firstLine="480" w:firstLineChars="200"/>
        <w:contextualSpacing/>
        <w:jc w:val="left"/>
        <w:rPr>
          <w:rFonts w:ascii="宋体" w:hAnsi="宋体"/>
          <w:sz w:val="24"/>
          <w:szCs w:val="24"/>
        </w:rPr>
      </w:pPr>
      <w:r>
        <w:rPr>
          <w:rFonts w:hint="eastAsia" w:ascii="宋体" w:hAnsi="宋体"/>
          <w:sz w:val="24"/>
          <w:szCs w:val="24"/>
        </w:rPr>
        <w:t>（4）总价金额与按单价汇总金额不一致的，以单价金额计算结果为准。</w:t>
      </w:r>
    </w:p>
    <w:p>
      <w:pPr>
        <w:widowControl/>
        <w:spacing w:before="100" w:beforeAutospacing="1" w:after="240" w:line="500" w:lineRule="exact"/>
        <w:ind w:firstLine="480" w:firstLineChars="200"/>
        <w:contextualSpacing/>
        <w:jc w:val="left"/>
        <w:rPr>
          <w:rFonts w:ascii="宋体" w:hAnsi="宋体"/>
          <w:sz w:val="24"/>
          <w:szCs w:val="24"/>
        </w:rPr>
      </w:pPr>
      <w:r>
        <w:rPr>
          <w:rFonts w:hint="eastAsia" w:ascii="宋体" w:hAnsi="宋体"/>
          <w:sz w:val="24"/>
          <w:szCs w:val="24"/>
        </w:rPr>
        <w:t>同时出现两种以上错误的，按照前款规定的顺序修正。</w:t>
      </w:r>
    </w:p>
    <w:p>
      <w:pPr>
        <w:widowControl/>
        <w:spacing w:before="100" w:beforeAutospacing="1" w:after="240" w:line="500" w:lineRule="exact"/>
        <w:ind w:firstLine="480" w:firstLineChars="200"/>
        <w:contextualSpacing/>
        <w:jc w:val="left"/>
        <w:rPr>
          <w:rFonts w:ascii="宋体" w:hAnsi="宋体"/>
          <w:sz w:val="24"/>
          <w:szCs w:val="24"/>
        </w:rPr>
      </w:pPr>
      <w:r>
        <w:rPr>
          <w:rFonts w:hint="eastAsia" w:ascii="宋体" w:hAnsi="宋体"/>
          <w:sz w:val="24"/>
          <w:szCs w:val="24"/>
        </w:rPr>
        <w:t>27.5评标委员会将按上述修正错误的方法调整投标文件中的投标报价，修正后的报价应当采用书面形式，并加盖公章，或者由法定代表人或其授权的代表签字，经投标人确认后产生约束力，如果投标人不接受修正后的价格，则其投标将被拒绝。</w:t>
      </w:r>
    </w:p>
    <w:p>
      <w:pPr>
        <w:widowControl/>
        <w:spacing w:before="100" w:beforeAutospacing="1" w:after="240" w:line="500" w:lineRule="exact"/>
        <w:ind w:firstLine="480" w:firstLineChars="200"/>
        <w:contextualSpacing/>
        <w:jc w:val="left"/>
        <w:rPr>
          <w:rFonts w:ascii="宋体" w:hAnsi="宋体"/>
          <w:sz w:val="24"/>
          <w:szCs w:val="24"/>
        </w:rPr>
      </w:pPr>
      <w:r>
        <w:rPr>
          <w:rFonts w:hint="eastAsia" w:ascii="宋体" w:hAnsi="宋体"/>
          <w:sz w:val="24"/>
          <w:szCs w:val="24"/>
        </w:rPr>
        <w:t>27.6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widowControl/>
        <w:spacing w:before="100" w:beforeAutospacing="1" w:after="240" w:line="500" w:lineRule="exact"/>
        <w:ind w:firstLine="480" w:firstLineChars="200"/>
        <w:contextualSpacing/>
        <w:jc w:val="left"/>
        <w:rPr>
          <w:rFonts w:ascii="宋体" w:hAnsi="宋体"/>
          <w:sz w:val="24"/>
          <w:szCs w:val="24"/>
        </w:rPr>
      </w:pPr>
      <w:r>
        <w:rPr>
          <w:rFonts w:hint="eastAsia" w:ascii="宋体" w:hAnsi="宋体"/>
          <w:sz w:val="24"/>
          <w:szCs w:val="24"/>
        </w:rPr>
        <w:t>27.6评委会将允许修正投标文件中不构成重大偏离的、微小的、非正规的、不一致的或不规则的地方，但这些修改不能影响任何投标人相应的名次排列。</w:t>
      </w:r>
    </w:p>
    <w:p>
      <w:pPr>
        <w:widowControl/>
        <w:spacing w:before="100" w:beforeAutospacing="1" w:after="240" w:line="500" w:lineRule="exact"/>
        <w:ind w:firstLine="480" w:firstLineChars="200"/>
        <w:contextualSpacing/>
        <w:jc w:val="left"/>
        <w:rPr>
          <w:rFonts w:ascii="宋体" w:hAnsi="宋体"/>
          <w:sz w:val="24"/>
          <w:szCs w:val="24"/>
        </w:rPr>
      </w:pPr>
      <w:r>
        <w:rPr>
          <w:rFonts w:hint="eastAsia" w:ascii="宋体" w:hAnsi="宋体"/>
          <w:sz w:val="24"/>
          <w:szCs w:val="24"/>
        </w:rPr>
        <w:t>27.7</w:t>
      </w:r>
      <w:r>
        <w:rPr>
          <w:rFonts w:hint="eastAsia" w:ascii="宋体" w:hAnsi="宋体"/>
          <w:b/>
          <w:bCs/>
          <w:sz w:val="24"/>
          <w:szCs w:val="24"/>
        </w:rPr>
        <w:t>采用最低评标价法的采购项目</w:t>
      </w:r>
      <w:r>
        <w:rPr>
          <w:rFonts w:hint="eastAsia" w:ascii="宋体" w:hAnsi="宋体"/>
          <w:sz w:val="24"/>
          <w:szCs w:val="24"/>
        </w:rPr>
        <w:t>，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pPr>
        <w:widowControl/>
        <w:spacing w:before="100" w:beforeAutospacing="1" w:after="240" w:line="500" w:lineRule="exact"/>
        <w:ind w:firstLine="482" w:firstLineChars="200"/>
        <w:contextualSpacing/>
        <w:jc w:val="left"/>
        <w:rPr>
          <w:rFonts w:ascii="宋体" w:hAnsi="宋体"/>
          <w:sz w:val="24"/>
          <w:szCs w:val="24"/>
        </w:rPr>
      </w:pPr>
      <w:r>
        <w:rPr>
          <w:rFonts w:hint="eastAsia" w:ascii="宋体" w:hAnsi="宋体"/>
          <w:b/>
          <w:bCs/>
          <w:sz w:val="24"/>
          <w:szCs w:val="24"/>
        </w:rPr>
        <w:t>使用综合评分法的采购项目</w:t>
      </w:r>
      <w:r>
        <w:rPr>
          <w:rFonts w:hint="eastAsia" w:ascii="宋体" w:hAnsi="宋体"/>
          <w:sz w:val="24"/>
          <w:szCs w:val="24"/>
        </w:rPr>
        <w:t>，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pPr>
        <w:widowControl/>
        <w:spacing w:before="100" w:beforeAutospacing="1" w:after="240" w:line="500" w:lineRule="exact"/>
        <w:ind w:firstLine="482" w:firstLineChars="200"/>
        <w:contextualSpacing/>
        <w:jc w:val="left"/>
        <w:rPr>
          <w:rFonts w:ascii="宋体"/>
          <w:sz w:val="24"/>
          <w:szCs w:val="24"/>
        </w:rPr>
      </w:pPr>
      <w:r>
        <w:rPr>
          <w:rFonts w:hint="eastAsia" w:ascii="宋体" w:hAnsi="宋体"/>
          <w:b/>
          <w:bCs/>
          <w:sz w:val="24"/>
          <w:szCs w:val="24"/>
        </w:rPr>
        <w:t>非单一产品采购项目</w:t>
      </w:r>
      <w:r>
        <w:rPr>
          <w:rFonts w:hint="eastAsia" w:ascii="宋体" w:hAnsi="宋体"/>
          <w:sz w:val="24"/>
          <w:szCs w:val="24"/>
        </w:rPr>
        <w:t>，采购人应当根据采购项目技术构成、产品价格比重等合理确定核心产品，并在招标文件中载明。多家投标人提供的核心产品品牌相同的，按前两款规定处理。   (87号令第31条)</w:t>
      </w:r>
      <w:bookmarkEnd w:id="131"/>
      <w:bookmarkEnd w:id="132"/>
      <w:bookmarkEnd w:id="133"/>
    </w:p>
    <w:p>
      <w:pPr>
        <w:spacing w:line="500" w:lineRule="exact"/>
        <w:ind w:firstLine="482" w:firstLineChars="200"/>
        <w:rPr>
          <w:rFonts w:ascii="宋体" w:hAnsi="宋体"/>
          <w:sz w:val="24"/>
          <w:szCs w:val="24"/>
        </w:rPr>
      </w:pPr>
      <w:r>
        <w:rPr>
          <w:rFonts w:hint="eastAsia" w:ascii="宋体" w:hAnsi="宋体" w:cs="Arial"/>
          <w:b/>
          <w:bCs/>
          <w:sz w:val="24"/>
          <w:szCs w:val="24"/>
        </w:rPr>
        <w:t>28、无效投标条款和废标条款</w:t>
      </w:r>
    </w:p>
    <w:p>
      <w:pPr>
        <w:snapToGrid w:val="0"/>
        <w:spacing w:line="500" w:lineRule="exact"/>
        <w:ind w:firstLine="480" w:firstLineChars="200"/>
        <w:rPr>
          <w:rFonts w:ascii="宋体" w:hAnsi="宋体"/>
          <w:bCs/>
          <w:sz w:val="24"/>
          <w:szCs w:val="24"/>
        </w:rPr>
      </w:pPr>
      <w:bookmarkStart w:id="134" w:name="_Toc200451960"/>
      <w:r>
        <w:rPr>
          <w:rFonts w:hint="eastAsia" w:ascii="宋体" w:hAnsi="宋体"/>
          <w:bCs/>
          <w:sz w:val="24"/>
          <w:szCs w:val="24"/>
        </w:rPr>
        <w:t>28.1无效投标条款</w:t>
      </w:r>
    </w:p>
    <w:p>
      <w:pPr>
        <w:snapToGrid w:val="0"/>
        <w:spacing w:line="500" w:lineRule="exact"/>
        <w:ind w:firstLine="480" w:firstLineChars="200"/>
        <w:rPr>
          <w:rFonts w:ascii="宋体" w:hAnsi="宋体"/>
          <w:bCs/>
          <w:sz w:val="24"/>
          <w:szCs w:val="24"/>
        </w:rPr>
      </w:pPr>
      <w:r>
        <w:rPr>
          <w:rFonts w:hint="eastAsia" w:ascii="宋体" w:hAnsi="宋体"/>
          <w:bCs/>
          <w:sz w:val="24"/>
          <w:szCs w:val="24"/>
        </w:rPr>
        <w:t>28.1.1未按照招标文件规定要求密封、签署、盖章的；</w:t>
      </w:r>
    </w:p>
    <w:p>
      <w:pPr>
        <w:snapToGrid w:val="0"/>
        <w:spacing w:line="500" w:lineRule="exact"/>
        <w:ind w:firstLine="480" w:firstLineChars="200"/>
        <w:rPr>
          <w:rFonts w:ascii="宋体" w:hAnsi="宋体"/>
          <w:bCs/>
          <w:sz w:val="24"/>
          <w:szCs w:val="24"/>
        </w:rPr>
      </w:pPr>
      <w:r>
        <w:rPr>
          <w:rFonts w:hint="eastAsia" w:ascii="宋体" w:hAnsi="宋体"/>
          <w:bCs/>
          <w:sz w:val="24"/>
          <w:szCs w:val="24"/>
        </w:rPr>
        <w:t>28.1.2投标人在报价时采用选择性报价；</w:t>
      </w:r>
    </w:p>
    <w:p>
      <w:pPr>
        <w:snapToGrid w:val="0"/>
        <w:spacing w:line="500" w:lineRule="exact"/>
        <w:ind w:firstLine="480" w:firstLineChars="200"/>
        <w:rPr>
          <w:rFonts w:ascii="宋体" w:hAnsi="宋体"/>
          <w:bCs/>
          <w:sz w:val="24"/>
          <w:szCs w:val="24"/>
        </w:rPr>
      </w:pPr>
      <w:r>
        <w:rPr>
          <w:rFonts w:hint="eastAsia" w:ascii="宋体" w:hAnsi="宋体"/>
          <w:bCs/>
          <w:sz w:val="24"/>
          <w:szCs w:val="24"/>
        </w:rPr>
        <w:t>28.1.3投标人不具备招标文件中规定资格要求的；</w:t>
      </w:r>
    </w:p>
    <w:p>
      <w:pPr>
        <w:snapToGrid w:val="0"/>
        <w:spacing w:line="500" w:lineRule="exact"/>
        <w:ind w:firstLine="480" w:firstLineChars="200"/>
        <w:rPr>
          <w:rFonts w:ascii="宋体" w:hAnsi="宋体"/>
          <w:bCs/>
          <w:sz w:val="24"/>
          <w:szCs w:val="24"/>
        </w:rPr>
      </w:pPr>
      <w:r>
        <w:rPr>
          <w:rFonts w:hint="eastAsia" w:ascii="宋体" w:hAnsi="宋体"/>
          <w:bCs/>
          <w:sz w:val="24"/>
          <w:szCs w:val="24"/>
        </w:rPr>
        <w:t>28.1.4投标人的报价超过了采购预算或最高限价的；</w:t>
      </w:r>
    </w:p>
    <w:p>
      <w:pPr>
        <w:snapToGrid w:val="0"/>
        <w:spacing w:line="500" w:lineRule="exact"/>
        <w:ind w:firstLine="480" w:firstLineChars="200"/>
        <w:rPr>
          <w:rFonts w:ascii="宋体" w:hAnsi="宋体"/>
          <w:bCs/>
          <w:sz w:val="24"/>
          <w:szCs w:val="24"/>
        </w:rPr>
      </w:pPr>
      <w:r>
        <w:rPr>
          <w:rFonts w:hint="eastAsia" w:ascii="宋体" w:hAnsi="宋体"/>
          <w:bCs/>
          <w:sz w:val="24"/>
          <w:szCs w:val="24"/>
        </w:rPr>
        <w:t>28.1.5未通过符合性检查的；</w:t>
      </w:r>
    </w:p>
    <w:p>
      <w:pPr>
        <w:snapToGrid w:val="0"/>
        <w:spacing w:line="500" w:lineRule="exact"/>
        <w:ind w:firstLine="480" w:firstLineChars="200"/>
        <w:rPr>
          <w:rFonts w:ascii="宋体" w:hAnsi="宋体"/>
          <w:bCs/>
          <w:sz w:val="24"/>
          <w:szCs w:val="24"/>
        </w:rPr>
      </w:pPr>
      <w:r>
        <w:rPr>
          <w:rFonts w:hint="eastAsia" w:ascii="宋体" w:hAnsi="宋体"/>
          <w:bCs/>
          <w:sz w:val="24"/>
          <w:szCs w:val="24"/>
        </w:rPr>
        <w:t>28.1.6不符合招标文件中规定的其他实质性要求和条件的；</w:t>
      </w:r>
    </w:p>
    <w:p>
      <w:pPr>
        <w:snapToGrid w:val="0"/>
        <w:spacing w:line="500" w:lineRule="exact"/>
        <w:ind w:firstLine="480" w:firstLineChars="200"/>
        <w:rPr>
          <w:rFonts w:ascii="宋体" w:hAnsi="宋体"/>
          <w:bCs/>
          <w:sz w:val="24"/>
          <w:szCs w:val="24"/>
        </w:rPr>
      </w:pPr>
      <w:r>
        <w:rPr>
          <w:rFonts w:hint="eastAsia" w:ascii="宋体" w:hAnsi="宋体"/>
          <w:bCs/>
          <w:sz w:val="24"/>
          <w:szCs w:val="24"/>
        </w:rPr>
        <w:t>28.1.7投标人串通投标；</w:t>
      </w:r>
    </w:p>
    <w:p>
      <w:pPr>
        <w:snapToGrid w:val="0"/>
        <w:spacing w:line="500" w:lineRule="exact"/>
        <w:ind w:firstLine="480" w:firstLineChars="200"/>
        <w:rPr>
          <w:rFonts w:ascii="宋体" w:hAnsi="宋体"/>
          <w:bCs/>
          <w:sz w:val="24"/>
          <w:szCs w:val="24"/>
        </w:rPr>
      </w:pPr>
      <w:r>
        <w:rPr>
          <w:rFonts w:hint="eastAsia" w:ascii="宋体" w:hAnsi="宋体"/>
          <w:bCs/>
          <w:sz w:val="24"/>
          <w:szCs w:val="24"/>
        </w:rPr>
        <w:t>28.1.8  投标文件含有采购人不能接受的附加条件的。</w:t>
      </w:r>
    </w:p>
    <w:p>
      <w:pPr>
        <w:snapToGrid w:val="0"/>
        <w:spacing w:line="500" w:lineRule="exact"/>
        <w:ind w:firstLine="480" w:firstLineChars="200"/>
        <w:rPr>
          <w:rFonts w:ascii="宋体" w:hAnsi="宋体"/>
          <w:bCs/>
          <w:sz w:val="24"/>
          <w:szCs w:val="24"/>
        </w:rPr>
      </w:pPr>
      <w:r>
        <w:rPr>
          <w:rFonts w:hint="eastAsia" w:ascii="宋体" w:hAnsi="宋体"/>
          <w:bCs/>
          <w:sz w:val="24"/>
          <w:szCs w:val="24"/>
        </w:rPr>
        <w:t>28.1.9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snapToGrid w:val="0"/>
        <w:spacing w:line="500" w:lineRule="exact"/>
        <w:ind w:firstLine="480" w:firstLineChars="200"/>
        <w:rPr>
          <w:rFonts w:ascii="宋体" w:hAnsi="宋体"/>
          <w:bCs/>
          <w:sz w:val="24"/>
          <w:szCs w:val="24"/>
        </w:rPr>
      </w:pPr>
      <w:r>
        <w:rPr>
          <w:rFonts w:hint="eastAsia" w:ascii="宋体" w:hAnsi="宋体"/>
          <w:bCs/>
          <w:sz w:val="24"/>
          <w:szCs w:val="24"/>
        </w:rPr>
        <w:t>28.1.10其他法律、法规及本招标文件规定的属无效投标的情形。</w:t>
      </w:r>
    </w:p>
    <w:p>
      <w:pPr>
        <w:snapToGrid w:val="0"/>
        <w:spacing w:line="500" w:lineRule="exact"/>
        <w:ind w:firstLine="480" w:firstLineChars="200"/>
        <w:rPr>
          <w:rFonts w:ascii="宋体" w:hAnsi="宋体"/>
          <w:bCs/>
          <w:sz w:val="24"/>
          <w:szCs w:val="24"/>
        </w:rPr>
      </w:pPr>
      <w:r>
        <w:rPr>
          <w:rFonts w:hint="eastAsia" w:ascii="宋体" w:hAnsi="宋体"/>
          <w:bCs/>
          <w:sz w:val="24"/>
          <w:szCs w:val="24"/>
        </w:rPr>
        <w:t xml:space="preserve">28.2废标条款：                                                                                                                                                                                                                                                                                                                                                                                                                                                                                                                                                                                                                                                                                                                                                                                                                                                                                                                                                                                                                                                                                                                                                                                                                                                                                                                                                                                                                                                                         </w:t>
      </w:r>
    </w:p>
    <w:p>
      <w:pPr>
        <w:snapToGrid w:val="0"/>
        <w:spacing w:line="500" w:lineRule="exact"/>
        <w:ind w:firstLine="480" w:firstLineChars="200"/>
        <w:rPr>
          <w:rFonts w:ascii="宋体" w:hAnsi="宋体"/>
          <w:bCs/>
          <w:sz w:val="24"/>
          <w:szCs w:val="24"/>
        </w:rPr>
      </w:pPr>
      <w:r>
        <w:rPr>
          <w:rFonts w:hint="eastAsia" w:ascii="宋体" w:hAnsi="宋体"/>
          <w:bCs/>
          <w:sz w:val="24"/>
          <w:szCs w:val="24"/>
        </w:rPr>
        <w:t>28.2.1符合专业条件的供应商或者对招标文件作实质响应的供应商不足三家的；</w:t>
      </w:r>
    </w:p>
    <w:p>
      <w:pPr>
        <w:snapToGrid w:val="0"/>
        <w:spacing w:line="500" w:lineRule="exact"/>
        <w:ind w:firstLine="480" w:firstLineChars="200"/>
        <w:rPr>
          <w:rFonts w:ascii="宋体" w:hAnsi="宋体"/>
          <w:bCs/>
          <w:sz w:val="24"/>
          <w:szCs w:val="24"/>
        </w:rPr>
      </w:pPr>
      <w:r>
        <w:rPr>
          <w:rFonts w:hint="eastAsia" w:ascii="宋体" w:hAnsi="宋体"/>
          <w:bCs/>
          <w:sz w:val="24"/>
          <w:szCs w:val="24"/>
        </w:rPr>
        <w:t>28.2.2出现影响采购公正的违法、违规行为的；</w:t>
      </w:r>
    </w:p>
    <w:p>
      <w:pPr>
        <w:snapToGrid w:val="0"/>
        <w:spacing w:line="500" w:lineRule="exact"/>
        <w:ind w:firstLine="480" w:firstLineChars="200"/>
        <w:rPr>
          <w:rFonts w:ascii="宋体" w:hAnsi="宋体"/>
          <w:bCs/>
          <w:sz w:val="24"/>
          <w:szCs w:val="24"/>
        </w:rPr>
      </w:pPr>
      <w:r>
        <w:rPr>
          <w:rFonts w:hint="eastAsia" w:ascii="宋体" w:hAnsi="宋体"/>
          <w:bCs/>
          <w:sz w:val="24"/>
          <w:szCs w:val="24"/>
        </w:rPr>
        <w:t>28.2.3因重大变故，采购任务取消的；</w:t>
      </w:r>
    </w:p>
    <w:p>
      <w:pPr>
        <w:snapToGrid w:val="0"/>
        <w:spacing w:line="500" w:lineRule="exact"/>
        <w:ind w:firstLine="480" w:firstLineChars="200"/>
        <w:rPr>
          <w:rFonts w:ascii="宋体" w:hAnsi="宋体"/>
          <w:bCs/>
          <w:sz w:val="24"/>
          <w:szCs w:val="24"/>
        </w:rPr>
      </w:pPr>
      <w:r>
        <w:rPr>
          <w:rFonts w:hint="eastAsia" w:ascii="宋体" w:hAnsi="宋体"/>
          <w:bCs/>
          <w:sz w:val="24"/>
          <w:szCs w:val="24"/>
        </w:rPr>
        <w:t>28.2.4评标委员会认定招标文件存在歧义、重大缺陷导致评审工作无法进行。</w:t>
      </w:r>
    </w:p>
    <w:p>
      <w:pPr>
        <w:snapToGrid w:val="0"/>
        <w:spacing w:line="500" w:lineRule="exact"/>
        <w:ind w:firstLine="480" w:firstLineChars="200"/>
        <w:rPr>
          <w:rFonts w:ascii="宋体" w:hAnsi="宋体"/>
          <w:bCs/>
          <w:sz w:val="24"/>
          <w:szCs w:val="24"/>
        </w:rPr>
      </w:pPr>
      <w:r>
        <w:rPr>
          <w:rFonts w:hint="eastAsia" w:ascii="宋体" w:hAnsi="宋体"/>
          <w:bCs/>
          <w:sz w:val="24"/>
          <w:szCs w:val="24"/>
        </w:rPr>
        <w:t>28.3 投标截止时间结束后参加投标的供应商不足三家的处理：</w:t>
      </w:r>
    </w:p>
    <w:p>
      <w:pPr>
        <w:snapToGrid w:val="0"/>
        <w:spacing w:line="500" w:lineRule="exact"/>
        <w:ind w:firstLine="480" w:firstLineChars="200"/>
        <w:rPr>
          <w:rFonts w:ascii="宋体" w:hAnsi="宋体"/>
          <w:bCs/>
          <w:sz w:val="24"/>
          <w:szCs w:val="24"/>
        </w:rPr>
      </w:pPr>
      <w:r>
        <w:rPr>
          <w:rFonts w:hint="eastAsia" w:ascii="宋体" w:hAnsi="宋体"/>
          <w:bCs/>
          <w:sz w:val="24"/>
          <w:szCs w:val="24"/>
        </w:rPr>
        <w:t>28.3.1如出现投标截止时间结束后参加投标的供应商或者在评标期间对招标文件做出实质响应的供应商不足三家情况，按财政部第八十七号令第四十三条的规定执行。</w:t>
      </w:r>
    </w:p>
    <w:p>
      <w:pPr>
        <w:snapToGrid w:val="0"/>
        <w:spacing w:line="500" w:lineRule="exact"/>
        <w:ind w:firstLine="480" w:firstLineChars="200"/>
        <w:rPr>
          <w:rFonts w:ascii="宋体" w:hAnsi="宋体"/>
          <w:bCs/>
          <w:sz w:val="24"/>
          <w:szCs w:val="24"/>
        </w:rPr>
      </w:pPr>
      <w:r>
        <w:rPr>
          <w:rFonts w:hint="eastAsia" w:ascii="宋体" w:hAnsi="宋体"/>
          <w:bCs/>
          <w:sz w:val="24"/>
          <w:szCs w:val="24"/>
        </w:rPr>
        <w:t>28.4投标截止后投标人不足3家或者通过资格审查、符合性审查的投标人不足3家的，除采购任务取消情形外，按照以下方式处理：</w:t>
      </w:r>
    </w:p>
    <w:p>
      <w:pPr>
        <w:snapToGrid w:val="0"/>
        <w:spacing w:line="500" w:lineRule="exact"/>
        <w:ind w:firstLine="480" w:firstLineChars="200"/>
        <w:rPr>
          <w:rFonts w:ascii="宋体" w:hAnsi="宋体"/>
          <w:bCs/>
          <w:sz w:val="24"/>
          <w:szCs w:val="24"/>
        </w:rPr>
      </w:pPr>
      <w:r>
        <w:rPr>
          <w:rFonts w:hint="eastAsia" w:ascii="宋体" w:hAnsi="宋体"/>
          <w:bCs/>
          <w:sz w:val="24"/>
          <w:szCs w:val="24"/>
        </w:rPr>
        <w:t xml:space="preserve">28.4.1招标文件存在不合理条款或者招标程序不符合规定的，采购人、采购代理机构改正后依法重新招标；    </w:t>
      </w:r>
    </w:p>
    <w:p>
      <w:pPr>
        <w:snapToGrid w:val="0"/>
        <w:spacing w:line="500" w:lineRule="exact"/>
        <w:ind w:firstLine="480" w:firstLineChars="200"/>
        <w:rPr>
          <w:rFonts w:ascii="宋体"/>
          <w:sz w:val="24"/>
          <w:szCs w:val="24"/>
        </w:rPr>
      </w:pPr>
      <w:r>
        <w:rPr>
          <w:rFonts w:hint="eastAsia" w:ascii="宋体" w:hAnsi="宋体"/>
          <w:bCs/>
          <w:sz w:val="24"/>
          <w:szCs w:val="24"/>
        </w:rPr>
        <w:t>28.4.2招标文件没有不合理条款、招标程序符合规定，需要采用其他采购方式采购的，采购人应当依法报财政部门批准。</w:t>
      </w:r>
    </w:p>
    <w:bookmarkEnd w:id="134"/>
    <w:p>
      <w:pPr>
        <w:pStyle w:val="9"/>
        <w:spacing w:beforeLines="50" w:afterLines="50" w:line="360" w:lineRule="auto"/>
        <w:ind w:firstLine="241" w:firstLineChars="100"/>
        <w:rPr>
          <w:rFonts w:ascii="宋体" w:hAnsi="宋体" w:cs="Arial"/>
          <w:sz w:val="24"/>
          <w:szCs w:val="24"/>
        </w:rPr>
      </w:pPr>
      <w:bookmarkStart w:id="135" w:name="_Toc120614219"/>
      <w:r>
        <w:rPr>
          <w:rFonts w:hint="eastAsia" w:ascii="宋体" w:hAnsi="宋体" w:cs="Arial"/>
          <w:sz w:val="24"/>
          <w:szCs w:val="24"/>
        </w:rPr>
        <w:t>六、定标</w:t>
      </w:r>
      <w:bookmarkEnd w:id="135"/>
    </w:p>
    <w:p>
      <w:pPr>
        <w:pStyle w:val="10"/>
        <w:spacing w:before="0" w:after="0" w:line="240" w:lineRule="auto"/>
        <w:ind w:firstLine="361" w:firstLineChars="150"/>
        <w:rPr>
          <w:rFonts w:ascii="黑体" w:hAnsi="宋体" w:cs="Times New Roman"/>
          <w:b w:val="0"/>
          <w:color w:val="000000"/>
          <w:sz w:val="30"/>
          <w:szCs w:val="30"/>
        </w:rPr>
      </w:pPr>
      <w:bookmarkStart w:id="136" w:name="_Toc513029238"/>
      <w:bookmarkStart w:id="137" w:name="_Toc16938554"/>
      <w:bookmarkStart w:id="138" w:name="_Toc20823310"/>
      <w:r>
        <w:rPr>
          <w:rFonts w:hint="eastAsia" w:ascii="宋体" w:hAnsi="宋体" w:eastAsia="宋体"/>
          <w:sz w:val="24"/>
          <w:szCs w:val="24"/>
        </w:rPr>
        <w:t>29、</w:t>
      </w:r>
      <w:bookmarkEnd w:id="136"/>
      <w:r>
        <w:rPr>
          <w:rFonts w:hint="eastAsia" w:ascii="宋体" w:hAnsi="宋体" w:eastAsia="宋体"/>
          <w:sz w:val="24"/>
          <w:szCs w:val="24"/>
        </w:rPr>
        <w:t>确定</w:t>
      </w:r>
      <w:bookmarkEnd w:id="137"/>
      <w:bookmarkEnd w:id="138"/>
      <w:r>
        <w:rPr>
          <w:rFonts w:hint="eastAsia" w:ascii="宋体" w:hAnsi="宋体" w:eastAsia="宋体"/>
          <w:sz w:val="24"/>
          <w:szCs w:val="24"/>
        </w:rPr>
        <w:t>中标单位</w:t>
      </w:r>
    </w:p>
    <w:p>
      <w:pPr>
        <w:spacing w:line="440" w:lineRule="exact"/>
        <w:ind w:firstLine="480" w:firstLineChars="200"/>
        <w:rPr>
          <w:rFonts w:ascii="宋体" w:hAnsi="宋体"/>
          <w:bCs/>
          <w:color w:val="000000"/>
          <w:sz w:val="24"/>
        </w:rPr>
      </w:pPr>
      <w:r>
        <w:rPr>
          <w:rFonts w:hint="eastAsia" w:ascii="宋体" w:hAnsi="宋体"/>
          <w:bCs/>
          <w:color w:val="000000"/>
          <w:sz w:val="24"/>
        </w:rPr>
        <w:t>29.1评委会根据本招标文件规定评标方法与评标标准向采购人推荐出中标候选人。</w:t>
      </w:r>
    </w:p>
    <w:p>
      <w:pPr>
        <w:widowControl/>
        <w:spacing w:before="100" w:beforeAutospacing="1" w:after="240" w:line="500" w:lineRule="exact"/>
        <w:ind w:firstLine="480" w:firstLineChars="200"/>
        <w:contextualSpacing/>
        <w:jc w:val="left"/>
        <w:rPr>
          <w:rFonts w:ascii="宋体" w:cs="Arial"/>
          <w:color w:val="000000"/>
          <w:kern w:val="0"/>
          <w:sz w:val="24"/>
          <w:szCs w:val="24"/>
        </w:rPr>
      </w:pPr>
      <w:r>
        <w:rPr>
          <w:rFonts w:hint="eastAsia" w:ascii="宋体" w:hAnsi="宋体"/>
          <w:bCs/>
          <w:color w:val="000000"/>
          <w:sz w:val="24"/>
        </w:rPr>
        <w:t xml:space="preserve">29.2 </w:t>
      </w:r>
      <w:r>
        <w:rPr>
          <w:rFonts w:hint="eastAsia" w:ascii="宋体" w:hAnsi="宋体" w:cs="Arial"/>
          <w:color w:val="000000"/>
          <w:kern w:val="0"/>
          <w:sz w:val="24"/>
          <w:szCs w:val="24"/>
        </w:rPr>
        <w:t>采购人自收到评标报告之日起５个工作日内，在评标报告确定的中标候选人名单中按顺序确定中标人。中标候选人并列的，由采购人或者采购人委托评标委员会按照招标文件规定的方式确定中标人；招标文件未规定的，采取随机抽取的方式确定。</w:t>
      </w:r>
    </w:p>
    <w:p>
      <w:pPr>
        <w:spacing w:line="500" w:lineRule="exact"/>
        <w:ind w:firstLine="480" w:firstLineChars="200"/>
        <w:rPr>
          <w:rFonts w:ascii="宋体"/>
          <w:color w:val="000000"/>
          <w:sz w:val="24"/>
          <w:szCs w:val="24"/>
        </w:rPr>
      </w:pPr>
      <w:r>
        <w:rPr>
          <w:rFonts w:hint="eastAsia" w:ascii="宋体" w:hAnsi="宋体"/>
          <w:bCs/>
          <w:color w:val="000000"/>
          <w:sz w:val="24"/>
          <w:szCs w:val="24"/>
        </w:rPr>
        <w:t>29</w:t>
      </w:r>
      <w:r>
        <w:rPr>
          <w:rFonts w:ascii="宋体" w:hAnsi="宋体"/>
          <w:bCs/>
          <w:color w:val="000000"/>
          <w:sz w:val="24"/>
          <w:szCs w:val="24"/>
        </w:rPr>
        <w:t>.3</w:t>
      </w:r>
      <w:r>
        <w:rPr>
          <w:rFonts w:hint="eastAsia" w:ascii="宋体" w:hAnsi="宋体" w:cs="Arial"/>
          <w:color w:val="000000"/>
          <w:kern w:val="0"/>
          <w:sz w:val="24"/>
          <w:szCs w:val="24"/>
        </w:rPr>
        <w:t>采购人或者采购代理机构自中标人确定之日起</w:t>
      </w:r>
      <w:r>
        <w:rPr>
          <w:rFonts w:ascii="宋体" w:hAnsi="宋体" w:cs="Arial"/>
          <w:color w:val="000000"/>
          <w:kern w:val="0"/>
          <w:sz w:val="24"/>
          <w:szCs w:val="24"/>
        </w:rPr>
        <w:t>2</w:t>
      </w:r>
      <w:r>
        <w:rPr>
          <w:rFonts w:hint="eastAsia" w:ascii="宋体" w:hAnsi="宋体" w:cs="Arial"/>
          <w:color w:val="000000"/>
          <w:kern w:val="0"/>
          <w:sz w:val="24"/>
          <w:szCs w:val="24"/>
        </w:rPr>
        <w:t>个工作日内，在“盐城市政府采购网”、“盐城市盐都区人民政府网”上公告中标结果</w:t>
      </w:r>
      <w:r>
        <w:rPr>
          <w:rFonts w:hint="eastAsia" w:ascii="宋体" w:hAnsi="宋体"/>
          <w:color w:val="000000"/>
          <w:sz w:val="24"/>
          <w:szCs w:val="24"/>
        </w:rPr>
        <w:t>，公告期限为</w:t>
      </w:r>
      <w:r>
        <w:rPr>
          <w:rFonts w:ascii="宋体" w:hAnsi="宋体"/>
          <w:color w:val="000000"/>
          <w:sz w:val="24"/>
          <w:szCs w:val="24"/>
        </w:rPr>
        <w:t>1</w:t>
      </w:r>
      <w:r>
        <w:rPr>
          <w:rFonts w:hint="eastAsia" w:ascii="宋体" w:hAnsi="宋体"/>
          <w:color w:val="000000"/>
          <w:sz w:val="24"/>
          <w:szCs w:val="24"/>
        </w:rPr>
        <w:t>个工作日。</w:t>
      </w:r>
    </w:p>
    <w:p>
      <w:pPr>
        <w:snapToGrid w:val="0"/>
        <w:spacing w:line="500" w:lineRule="exact"/>
        <w:ind w:firstLine="480" w:firstLineChars="200"/>
        <w:rPr>
          <w:rFonts w:ascii="宋体" w:hAnsi="宋体"/>
          <w:color w:val="000000"/>
          <w:sz w:val="24"/>
          <w:szCs w:val="24"/>
        </w:rPr>
      </w:pPr>
      <w:r>
        <w:rPr>
          <w:rFonts w:hint="eastAsia" w:ascii="宋体" w:hAnsi="宋体"/>
          <w:color w:val="000000"/>
          <w:sz w:val="24"/>
          <w:szCs w:val="24"/>
        </w:rPr>
        <w:t>29</w:t>
      </w:r>
      <w:r>
        <w:rPr>
          <w:rFonts w:ascii="宋体" w:hAnsi="宋体"/>
          <w:color w:val="000000"/>
          <w:sz w:val="24"/>
          <w:szCs w:val="24"/>
        </w:rPr>
        <w:t>.4</w:t>
      </w:r>
      <w:r>
        <w:rPr>
          <w:rFonts w:hint="eastAsia" w:ascii="宋体" w:hAnsi="宋体"/>
          <w:color w:val="000000"/>
          <w:sz w:val="24"/>
          <w:szCs w:val="24"/>
        </w:rPr>
        <w:t>中标人有下列情形之一的，</w:t>
      </w:r>
      <w:r>
        <w:rPr>
          <w:rFonts w:hint="eastAsia" w:ascii="宋体" w:hAnsi="宋体"/>
          <w:sz w:val="24"/>
          <w:szCs w:val="24"/>
        </w:rPr>
        <w:t>一经查实，将被取消中标资格</w:t>
      </w:r>
      <w:r>
        <w:rPr>
          <w:rFonts w:hint="eastAsia" w:ascii="宋体" w:hAnsi="宋体"/>
          <w:color w:val="000000"/>
          <w:sz w:val="24"/>
          <w:szCs w:val="24"/>
        </w:rPr>
        <w:t>并列入不良行为记录，在</w:t>
      </w:r>
      <w:r>
        <w:rPr>
          <w:rFonts w:ascii="宋体" w:hAnsi="宋体"/>
          <w:color w:val="000000"/>
          <w:sz w:val="24"/>
          <w:szCs w:val="24"/>
        </w:rPr>
        <w:t>1</w:t>
      </w:r>
      <w:r>
        <w:rPr>
          <w:rFonts w:hint="eastAsia" w:ascii="宋体" w:hAnsi="宋体"/>
          <w:color w:val="000000"/>
          <w:sz w:val="24"/>
          <w:szCs w:val="24"/>
        </w:rPr>
        <w:t>至</w:t>
      </w:r>
      <w:r>
        <w:rPr>
          <w:rFonts w:ascii="宋体" w:hAnsi="宋体"/>
          <w:color w:val="000000"/>
          <w:sz w:val="24"/>
          <w:szCs w:val="24"/>
        </w:rPr>
        <w:t>3</w:t>
      </w:r>
      <w:r>
        <w:rPr>
          <w:rFonts w:hint="eastAsia" w:ascii="宋体" w:hAnsi="宋体"/>
          <w:color w:val="000000"/>
          <w:sz w:val="24"/>
          <w:szCs w:val="24"/>
        </w:rPr>
        <w:t>年内禁止参加盐都区政府采购活动：</w:t>
      </w:r>
    </w:p>
    <w:p>
      <w:pPr>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29.4.1提供虚假材料谋取中标的；</w:t>
      </w:r>
    </w:p>
    <w:p>
      <w:pPr>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29.4.2向采购人、采购中心行贿或者提供其他不正当利益的；</w:t>
      </w:r>
    </w:p>
    <w:p>
      <w:pPr>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29.4.3恶意竞争，投标总报价明显低于其自身合理成本且又无法提供证明的；</w:t>
      </w:r>
    </w:p>
    <w:p>
      <w:pPr>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29.4.4属于本文件规定的无效条件，但在评标过程中又未被评委会发现的；</w:t>
      </w:r>
    </w:p>
    <w:p>
      <w:pPr>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29.4.5与采购人或者其他供应商恶意串通的；</w:t>
      </w:r>
    </w:p>
    <w:p>
      <w:pPr>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29.4.6采取不正当手段诋毁、排挤其他供应商的；</w:t>
      </w:r>
    </w:p>
    <w:p>
      <w:pPr>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29.4.7不符合法律、法规的规定的。</w:t>
      </w:r>
    </w:p>
    <w:p>
      <w:pPr>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29.5.</w:t>
      </w:r>
      <w:r>
        <w:rPr>
          <w:rFonts w:hAnsi="宋体" w:cs="宋体"/>
          <w:color w:val="000000"/>
          <w:kern w:val="0"/>
          <w:sz w:val="24"/>
          <w:szCs w:val="24"/>
        </w:rPr>
        <w:t>有下列情形之一的，</w:t>
      </w:r>
      <w:r>
        <w:rPr>
          <w:rFonts w:hint="eastAsia" w:hAnsi="宋体" w:cs="宋体"/>
          <w:color w:val="000000"/>
          <w:kern w:val="0"/>
          <w:sz w:val="24"/>
          <w:szCs w:val="24"/>
        </w:rPr>
        <w:t>视为投标人</w:t>
      </w:r>
      <w:r>
        <w:rPr>
          <w:rFonts w:hAnsi="宋体" w:cs="宋体"/>
          <w:color w:val="000000"/>
          <w:kern w:val="0"/>
          <w:sz w:val="24"/>
          <w:szCs w:val="24"/>
        </w:rPr>
        <w:t>串通</w:t>
      </w:r>
      <w:r>
        <w:rPr>
          <w:rFonts w:hint="eastAsia" w:hAnsi="宋体" w:cs="宋体"/>
          <w:color w:val="000000"/>
          <w:kern w:val="0"/>
          <w:sz w:val="24"/>
          <w:szCs w:val="24"/>
        </w:rPr>
        <w:t>投标，投标无效：</w:t>
      </w:r>
    </w:p>
    <w:p>
      <w:pPr>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29.5.1不同投标人的投标文件由同一单位或者个人编制。</w:t>
      </w:r>
    </w:p>
    <w:p>
      <w:pPr>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29.5.2不同投标人委托同一单位或者个人办理投标事宜。</w:t>
      </w:r>
    </w:p>
    <w:p>
      <w:pPr>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29.5.3 不同投标人的投标文件载明的项目管理成员或者联系人员为同一人。</w:t>
      </w:r>
    </w:p>
    <w:p>
      <w:pPr>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29.5.4不同投标人的投标文件异常一致或者投标报价呈规律性差异。</w:t>
      </w:r>
    </w:p>
    <w:p>
      <w:pPr>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29.5.5不同投标人的投标文件相互混装。</w:t>
      </w:r>
    </w:p>
    <w:p>
      <w:pPr>
        <w:snapToGrid w:val="0"/>
        <w:spacing w:line="500" w:lineRule="exact"/>
        <w:ind w:firstLine="480" w:firstLineChars="200"/>
        <w:rPr>
          <w:rFonts w:ascii="宋体"/>
          <w:color w:val="000000"/>
          <w:sz w:val="24"/>
          <w:szCs w:val="24"/>
        </w:rPr>
      </w:pPr>
      <w:r>
        <w:rPr>
          <w:rFonts w:hint="eastAsia" w:ascii="宋体" w:hAnsi="宋体"/>
          <w:color w:val="000000"/>
          <w:sz w:val="24"/>
          <w:szCs w:val="24"/>
        </w:rPr>
        <w:t>29.6</w:t>
      </w:r>
      <w:r>
        <w:rPr>
          <w:rFonts w:hint="eastAsia" w:ascii="宋体" w:hAnsi="宋体" w:cs="宋体"/>
          <w:color w:val="000000"/>
          <w:kern w:val="0"/>
          <w:sz w:val="24"/>
          <w:szCs w:val="24"/>
        </w:rPr>
        <w:t>有下列情形之一的，属于恶意串通：</w:t>
      </w:r>
    </w:p>
    <w:p>
      <w:pPr>
        <w:snapToGrid w:val="0"/>
        <w:spacing w:line="500" w:lineRule="exact"/>
        <w:ind w:firstLine="480" w:firstLineChars="200"/>
        <w:rPr>
          <w:rFonts w:ascii="宋体"/>
          <w:color w:val="000000"/>
          <w:sz w:val="24"/>
          <w:szCs w:val="24"/>
        </w:rPr>
      </w:pPr>
      <w:r>
        <w:rPr>
          <w:rFonts w:hint="eastAsia" w:ascii="宋体" w:hAnsi="宋体"/>
          <w:color w:val="000000"/>
          <w:sz w:val="24"/>
          <w:szCs w:val="24"/>
        </w:rPr>
        <w:t>29</w:t>
      </w:r>
      <w:r>
        <w:rPr>
          <w:rFonts w:ascii="宋体" w:hAnsi="宋体"/>
          <w:color w:val="000000"/>
          <w:sz w:val="24"/>
          <w:szCs w:val="24"/>
        </w:rPr>
        <w:t>.6.1</w:t>
      </w:r>
      <w:r>
        <w:rPr>
          <w:rFonts w:hint="eastAsia" w:ascii="宋体" w:hAnsi="宋体" w:cs="宋体"/>
          <w:color w:val="000000"/>
          <w:kern w:val="0"/>
          <w:sz w:val="24"/>
          <w:szCs w:val="24"/>
        </w:rPr>
        <w:t>投标人直接或者间接从采购人或者采购代理机构处获得其他投标人的相关情况并修改其投标文件；</w:t>
      </w:r>
    </w:p>
    <w:p>
      <w:pPr>
        <w:snapToGrid w:val="0"/>
        <w:spacing w:line="500" w:lineRule="exact"/>
        <w:ind w:firstLine="480" w:firstLineChars="200"/>
        <w:rPr>
          <w:rFonts w:ascii="宋体"/>
          <w:color w:val="000000"/>
          <w:sz w:val="24"/>
          <w:szCs w:val="24"/>
        </w:rPr>
      </w:pPr>
      <w:r>
        <w:rPr>
          <w:rFonts w:hint="eastAsia" w:ascii="宋体" w:hAnsi="宋体"/>
          <w:color w:val="000000"/>
          <w:sz w:val="24"/>
          <w:szCs w:val="24"/>
        </w:rPr>
        <w:t>29</w:t>
      </w:r>
      <w:r>
        <w:rPr>
          <w:rFonts w:ascii="宋体" w:hAnsi="宋体"/>
          <w:color w:val="000000"/>
          <w:sz w:val="24"/>
          <w:szCs w:val="24"/>
        </w:rPr>
        <w:t>.6.2</w:t>
      </w:r>
      <w:r>
        <w:rPr>
          <w:rFonts w:hint="eastAsia" w:ascii="宋体" w:hAnsi="宋体" w:cs="宋体"/>
          <w:color w:val="000000"/>
          <w:kern w:val="0"/>
          <w:sz w:val="24"/>
          <w:szCs w:val="24"/>
        </w:rPr>
        <w:t>投标人按照采购人或者采购代理机构的授意撤换、修改投标文件；</w:t>
      </w:r>
    </w:p>
    <w:p>
      <w:pPr>
        <w:snapToGrid w:val="0"/>
        <w:spacing w:line="500" w:lineRule="exact"/>
        <w:ind w:firstLine="480" w:firstLineChars="200"/>
        <w:rPr>
          <w:rFonts w:ascii="宋体"/>
          <w:color w:val="000000"/>
          <w:sz w:val="24"/>
          <w:szCs w:val="24"/>
        </w:rPr>
      </w:pPr>
      <w:r>
        <w:rPr>
          <w:rFonts w:hint="eastAsia" w:ascii="宋体" w:hAnsi="宋体"/>
          <w:color w:val="000000"/>
          <w:sz w:val="24"/>
          <w:szCs w:val="24"/>
        </w:rPr>
        <w:t>29</w:t>
      </w:r>
      <w:r>
        <w:rPr>
          <w:rFonts w:ascii="宋体" w:hAnsi="宋体"/>
          <w:color w:val="000000"/>
          <w:sz w:val="24"/>
          <w:szCs w:val="24"/>
        </w:rPr>
        <w:t>.6.3</w:t>
      </w:r>
      <w:r>
        <w:rPr>
          <w:rFonts w:hint="eastAsia" w:ascii="宋体" w:hAnsi="宋体" w:cs="宋体"/>
          <w:color w:val="000000"/>
          <w:kern w:val="0"/>
          <w:sz w:val="24"/>
          <w:szCs w:val="24"/>
        </w:rPr>
        <w:t>投标人之间协商报价、技术方案等投标文件的实质性内容；</w:t>
      </w:r>
    </w:p>
    <w:p>
      <w:pPr>
        <w:snapToGrid w:val="0"/>
        <w:spacing w:line="500" w:lineRule="exact"/>
        <w:ind w:firstLine="480" w:firstLineChars="200"/>
        <w:rPr>
          <w:rFonts w:ascii="宋体"/>
          <w:color w:val="000000"/>
          <w:sz w:val="24"/>
          <w:szCs w:val="24"/>
        </w:rPr>
      </w:pPr>
      <w:r>
        <w:rPr>
          <w:rFonts w:hint="eastAsia" w:ascii="宋体" w:hAnsi="宋体"/>
          <w:color w:val="000000"/>
          <w:sz w:val="24"/>
          <w:szCs w:val="24"/>
        </w:rPr>
        <w:t>29</w:t>
      </w:r>
      <w:r>
        <w:rPr>
          <w:rFonts w:ascii="宋体" w:hAnsi="宋体"/>
          <w:color w:val="000000"/>
          <w:sz w:val="24"/>
          <w:szCs w:val="24"/>
        </w:rPr>
        <w:t>.6.4</w:t>
      </w:r>
      <w:r>
        <w:rPr>
          <w:rFonts w:hint="eastAsia" w:ascii="宋体" w:hAnsi="宋体" w:cs="宋体"/>
          <w:color w:val="000000"/>
          <w:kern w:val="0"/>
          <w:sz w:val="24"/>
          <w:szCs w:val="24"/>
        </w:rPr>
        <w:t>属于同一集团、协会、商会等组织成员的投标人按照该组织要求协同参加政府采购活动；</w:t>
      </w:r>
    </w:p>
    <w:p>
      <w:pPr>
        <w:snapToGrid w:val="0"/>
        <w:spacing w:line="500" w:lineRule="exact"/>
        <w:ind w:firstLine="480" w:firstLineChars="200"/>
        <w:rPr>
          <w:rFonts w:ascii="宋体"/>
          <w:color w:val="000000"/>
          <w:sz w:val="24"/>
          <w:szCs w:val="24"/>
        </w:rPr>
      </w:pPr>
      <w:r>
        <w:rPr>
          <w:rFonts w:hint="eastAsia" w:ascii="宋体" w:hAnsi="宋体"/>
          <w:color w:val="000000"/>
          <w:sz w:val="24"/>
          <w:szCs w:val="24"/>
        </w:rPr>
        <w:t>29</w:t>
      </w:r>
      <w:r>
        <w:rPr>
          <w:rFonts w:ascii="宋体" w:hAnsi="宋体"/>
          <w:color w:val="000000"/>
          <w:sz w:val="24"/>
          <w:szCs w:val="24"/>
        </w:rPr>
        <w:t>.6.5</w:t>
      </w:r>
      <w:r>
        <w:rPr>
          <w:rFonts w:hint="eastAsia" w:ascii="宋体" w:hAnsi="宋体" w:cs="宋体"/>
          <w:color w:val="000000"/>
          <w:kern w:val="0"/>
          <w:sz w:val="24"/>
          <w:szCs w:val="24"/>
        </w:rPr>
        <w:t>投标人之间事先约定由某一特定投标人中标；</w:t>
      </w:r>
    </w:p>
    <w:p>
      <w:pPr>
        <w:snapToGrid w:val="0"/>
        <w:spacing w:line="500" w:lineRule="exact"/>
        <w:ind w:firstLine="480" w:firstLineChars="200"/>
        <w:rPr>
          <w:rFonts w:ascii="宋体" w:cs="宋体"/>
          <w:color w:val="000000"/>
          <w:kern w:val="0"/>
          <w:sz w:val="24"/>
          <w:szCs w:val="24"/>
        </w:rPr>
      </w:pPr>
      <w:r>
        <w:rPr>
          <w:rFonts w:hint="eastAsia" w:ascii="宋体" w:hAnsi="宋体"/>
          <w:color w:val="000000"/>
          <w:sz w:val="24"/>
          <w:szCs w:val="24"/>
        </w:rPr>
        <w:t>29</w:t>
      </w:r>
      <w:r>
        <w:rPr>
          <w:rFonts w:ascii="宋体" w:hAnsi="宋体"/>
          <w:color w:val="000000"/>
          <w:sz w:val="24"/>
          <w:szCs w:val="24"/>
        </w:rPr>
        <w:t>.6.6</w:t>
      </w:r>
      <w:r>
        <w:rPr>
          <w:rFonts w:hint="eastAsia" w:ascii="宋体" w:hAnsi="宋体" w:cs="宋体"/>
          <w:color w:val="000000"/>
          <w:kern w:val="0"/>
          <w:sz w:val="24"/>
          <w:szCs w:val="24"/>
        </w:rPr>
        <w:t>投标人之间商定部分投标人放弃参加政府采购活动或者放弃中标；</w:t>
      </w:r>
    </w:p>
    <w:p>
      <w:pPr>
        <w:snapToGrid w:val="0"/>
        <w:spacing w:line="500" w:lineRule="exact"/>
        <w:ind w:firstLine="480" w:firstLineChars="200"/>
        <w:rPr>
          <w:rFonts w:ascii="宋体" w:hAnsi="宋体"/>
          <w:color w:val="000000"/>
          <w:sz w:val="24"/>
          <w:szCs w:val="24"/>
        </w:rPr>
      </w:pPr>
      <w:r>
        <w:rPr>
          <w:rFonts w:hint="eastAsia" w:ascii="宋体" w:hAnsi="宋体"/>
          <w:color w:val="000000"/>
          <w:sz w:val="24"/>
          <w:szCs w:val="24"/>
        </w:rPr>
        <w:t>29</w:t>
      </w:r>
      <w:r>
        <w:rPr>
          <w:rFonts w:ascii="宋体" w:hAnsi="宋体"/>
          <w:color w:val="000000"/>
          <w:sz w:val="24"/>
          <w:szCs w:val="24"/>
        </w:rPr>
        <w:t>.6.7</w:t>
      </w:r>
      <w:r>
        <w:rPr>
          <w:rFonts w:hint="eastAsia" w:ascii="宋体" w:hAnsi="宋体" w:cs="宋体"/>
          <w:color w:val="000000"/>
          <w:kern w:val="0"/>
          <w:sz w:val="24"/>
          <w:szCs w:val="24"/>
        </w:rPr>
        <w:t>投标人与采购人或者采购代理机构之间、投标人相互之间，为谋求特定投标人中标或者排斥其他投标人的其他串通行为。</w:t>
      </w:r>
    </w:p>
    <w:p>
      <w:pPr>
        <w:pStyle w:val="10"/>
        <w:tabs>
          <w:tab w:val="left" w:pos="4120"/>
        </w:tabs>
        <w:spacing w:before="0" w:after="0" w:line="240" w:lineRule="auto"/>
        <w:ind w:firstLine="361" w:firstLineChars="150"/>
        <w:rPr>
          <w:rFonts w:ascii="黑体" w:hAnsi="宋体" w:cs="Times New Roman"/>
          <w:b w:val="0"/>
          <w:color w:val="000000"/>
          <w:sz w:val="30"/>
          <w:szCs w:val="30"/>
        </w:rPr>
      </w:pPr>
      <w:r>
        <w:rPr>
          <w:rFonts w:hint="eastAsia" w:ascii="宋体" w:hAnsi="宋体" w:eastAsia="宋体"/>
          <w:sz w:val="24"/>
          <w:szCs w:val="24"/>
        </w:rPr>
        <w:t>30、质疑处理</w:t>
      </w:r>
      <w:r>
        <w:rPr>
          <w:rFonts w:ascii="黑体" w:hAnsi="宋体" w:cs="Times New Roman"/>
          <w:b w:val="0"/>
          <w:color w:val="000000"/>
          <w:sz w:val="30"/>
          <w:szCs w:val="30"/>
        </w:rPr>
        <w:tab/>
      </w:r>
    </w:p>
    <w:p>
      <w:pPr>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30.1参加投标供应商认为招标文件、采购过程和中标结果使自己的权益受到损害的，可以在知道或应知其权益受到损害之日起七个工作日内，以书面形式向采购中心或采购人提出质疑。上述应知其权益受到损害之日，是指：</w:t>
      </w:r>
    </w:p>
    <w:p>
      <w:pPr>
        <w:snapToGrid w:val="0"/>
        <w:spacing w:line="480" w:lineRule="exact"/>
        <w:ind w:firstLine="480" w:firstLineChars="200"/>
        <w:rPr>
          <w:rFonts w:hint="eastAsia" w:hAnsi="宋体" w:eastAsia="宋体" w:cs="宋体"/>
          <w:color w:val="000000"/>
          <w:kern w:val="0"/>
          <w:sz w:val="24"/>
          <w:szCs w:val="24"/>
          <w:lang w:eastAsia="zh-CN"/>
        </w:rPr>
      </w:pPr>
      <w:r>
        <w:rPr>
          <w:rFonts w:hint="eastAsia" w:ascii="宋体" w:hAnsi="宋体"/>
          <w:color w:val="000000"/>
          <w:sz w:val="24"/>
          <w:szCs w:val="24"/>
        </w:rPr>
        <w:t>30.1.1</w:t>
      </w:r>
      <w:r>
        <w:rPr>
          <w:rFonts w:hAnsi="宋体" w:cs="宋体"/>
          <w:color w:val="000000"/>
          <w:kern w:val="0"/>
          <w:sz w:val="24"/>
          <w:szCs w:val="24"/>
        </w:rPr>
        <w:t>对可以质疑的</w:t>
      </w:r>
      <w:r>
        <w:rPr>
          <w:rFonts w:hint="eastAsia" w:hAnsi="宋体" w:cs="宋体"/>
          <w:color w:val="000000"/>
          <w:kern w:val="0"/>
          <w:sz w:val="24"/>
          <w:szCs w:val="24"/>
        </w:rPr>
        <w:t>招标</w:t>
      </w:r>
      <w:r>
        <w:rPr>
          <w:rFonts w:hAnsi="宋体" w:cs="宋体"/>
          <w:color w:val="000000"/>
          <w:kern w:val="0"/>
          <w:sz w:val="24"/>
          <w:szCs w:val="24"/>
        </w:rPr>
        <w:t>文件提出质疑的，为收到</w:t>
      </w:r>
      <w:r>
        <w:rPr>
          <w:rFonts w:hint="eastAsia" w:hAnsi="宋体" w:cs="宋体"/>
          <w:color w:val="000000"/>
          <w:kern w:val="0"/>
          <w:sz w:val="24"/>
          <w:szCs w:val="24"/>
        </w:rPr>
        <w:t>招标</w:t>
      </w:r>
      <w:r>
        <w:rPr>
          <w:rFonts w:hAnsi="宋体" w:cs="宋体"/>
          <w:color w:val="000000"/>
          <w:kern w:val="0"/>
          <w:sz w:val="24"/>
          <w:szCs w:val="24"/>
        </w:rPr>
        <w:t>文件之日或者</w:t>
      </w:r>
      <w:r>
        <w:rPr>
          <w:rFonts w:hint="eastAsia" w:hAnsi="宋体" w:cs="宋体"/>
          <w:color w:val="000000"/>
          <w:kern w:val="0"/>
          <w:sz w:val="24"/>
          <w:szCs w:val="24"/>
        </w:rPr>
        <w:t>招标</w:t>
      </w:r>
      <w:r>
        <w:rPr>
          <w:rFonts w:hAnsi="宋体" w:cs="宋体"/>
          <w:color w:val="000000"/>
          <w:kern w:val="0"/>
          <w:sz w:val="24"/>
          <w:szCs w:val="24"/>
        </w:rPr>
        <w:t>文件公告期限届满之日；</w:t>
      </w:r>
    </w:p>
    <w:p>
      <w:pPr>
        <w:snapToGrid w:val="0"/>
        <w:spacing w:line="480" w:lineRule="exact"/>
        <w:ind w:firstLine="480" w:firstLineChars="200"/>
        <w:rPr>
          <w:rFonts w:hint="eastAsia" w:hAnsi="宋体" w:eastAsia="宋体" w:cs="宋体"/>
          <w:color w:val="000000"/>
          <w:kern w:val="0"/>
          <w:sz w:val="24"/>
          <w:szCs w:val="24"/>
          <w:lang w:eastAsia="zh-CN"/>
        </w:rPr>
      </w:pPr>
      <w:r>
        <w:rPr>
          <w:rFonts w:hAnsi="宋体" w:cs="宋体"/>
          <w:color w:val="000000"/>
          <w:kern w:val="0"/>
          <w:sz w:val="24"/>
          <w:szCs w:val="24"/>
        </w:rPr>
        <w:t>　　</w:t>
      </w:r>
      <w:r>
        <w:rPr>
          <w:rFonts w:hint="eastAsia" w:ascii="宋体" w:hAnsi="宋体"/>
          <w:color w:val="000000"/>
          <w:sz w:val="24"/>
          <w:szCs w:val="24"/>
        </w:rPr>
        <w:t>30.1.2</w:t>
      </w:r>
      <w:r>
        <w:rPr>
          <w:rFonts w:hAnsi="宋体" w:cs="宋体"/>
          <w:color w:val="000000"/>
          <w:kern w:val="0"/>
          <w:sz w:val="24"/>
          <w:szCs w:val="24"/>
        </w:rPr>
        <w:t>对采购过程提出质疑的，为各采购程序环节结束之日；</w:t>
      </w:r>
    </w:p>
    <w:p>
      <w:pPr>
        <w:snapToGrid w:val="0"/>
        <w:spacing w:line="480" w:lineRule="exact"/>
        <w:ind w:firstLine="480" w:firstLineChars="200"/>
        <w:rPr>
          <w:rFonts w:ascii="宋体" w:hAnsi="宋体"/>
          <w:color w:val="000000"/>
          <w:sz w:val="24"/>
          <w:szCs w:val="24"/>
        </w:rPr>
      </w:pPr>
      <w:r>
        <w:rPr>
          <w:rFonts w:hAnsi="宋体" w:cs="宋体"/>
          <w:color w:val="000000"/>
          <w:kern w:val="0"/>
          <w:sz w:val="24"/>
          <w:szCs w:val="24"/>
        </w:rPr>
        <w:t>　　</w:t>
      </w:r>
      <w:r>
        <w:rPr>
          <w:rFonts w:hint="eastAsia" w:ascii="宋体" w:hAnsi="宋体"/>
          <w:color w:val="000000"/>
          <w:sz w:val="24"/>
          <w:szCs w:val="24"/>
        </w:rPr>
        <w:t>30.1.3</w:t>
      </w:r>
      <w:r>
        <w:rPr>
          <w:rFonts w:hAnsi="宋体" w:cs="宋体"/>
          <w:color w:val="000000"/>
          <w:kern w:val="0"/>
          <w:sz w:val="24"/>
          <w:szCs w:val="24"/>
        </w:rPr>
        <w:t>对中标结果提出质疑的，为中标结果公告期限届满之日。</w:t>
      </w:r>
    </w:p>
    <w:p>
      <w:pPr>
        <w:snapToGrid w:val="0"/>
        <w:spacing w:line="480" w:lineRule="exact"/>
        <w:ind w:firstLine="472" w:firstLineChars="197"/>
        <w:rPr>
          <w:rFonts w:ascii="宋体" w:hAnsi="宋体"/>
          <w:color w:val="000000"/>
          <w:sz w:val="24"/>
          <w:szCs w:val="24"/>
        </w:rPr>
      </w:pPr>
      <w:r>
        <w:rPr>
          <w:rFonts w:hint="eastAsia" w:ascii="宋体" w:hAnsi="宋体"/>
          <w:color w:val="000000"/>
          <w:sz w:val="24"/>
          <w:szCs w:val="24"/>
        </w:rPr>
        <w:t>30.2质疑必须按《政府采购法》、《政府采购法实施条例》及《江苏省政府采购供应商监督管理暂行办法》的相关规定提交，未按上述要求提交的质疑函（含传真、电子邮件等）采购中心有权不予受理。</w:t>
      </w:r>
    </w:p>
    <w:p>
      <w:pPr>
        <w:snapToGrid w:val="0"/>
        <w:spacing w:line="480" w:lineRule="exact"/>
        <w:ind w:firstLine="468" w:firstLineChars="195"/>
        <w:rPr>
          <w:rFonts w:ascii="宋体" w:hAnsi="宋体"/>
          <w:color w:val="000000"/>
          <w:sz w:val="24"/>
          <w:szCs w:val="24"/>
        </w:rPr>
      </w:pPr>
      <w:r>
        <w:rPr>
          <w:rFonts w:hint="eastAsia" w:ascii="宋体" w:hAnsi="宋体"/>
          <w:color w:val="000000"/>
          <w:sz w:val="24"/>
          <w:szCs w:val="24"/>
        </w:rPr>
        <w:t>30.3未参加投标活动的供应商或在投标活动中自身权益未受到损害的供应商所提出的质疑不予受理。</w:t>
      </w:r>
    </w:p>
    <w:p>
      <w:pPr>
        <w:snapToGrid w:val="0"/>
        <w:spacing w:line="480" w:lineRule="exact"/>
        <w:ind w:firstLine="468" w:firstLineChars="195"/>
        <w:rPr>
          <w:rFonts w:ascii="宋体" w:hAnsi="宋体"/>
          <w:color w:val="000000"/>
          <w:sz w:val="24"/>
          <w:szCs w:val="24"/>
        </w:rPr>
      </w:pPr>
      <w:r>
        <w:rPr>
          <w:rFonts w:hint="eastAsia" w:ascii="宋体" w:hAnsi="宋体"/>
          <w:color w:val="000000"/>
          <w:sz w:val="24"/>
          <w:szCs w:val="24"/>
        </w:rPr>
        <w:t>30.4质疑函应当包括下列内容：</w:t>
      </w:r>
    </w:p>
    <w:p>
      <w:pPr>
        <w:snapToGrid w:val="0"/>
        <w:spacing w:line="480" w:lineRule="exact"/>
        <w:ind w:firstLine="468" w:firstLineChars="195"/>
        <w:rPr>
          <w:rFonts w:ascii="宋体" w:hAnsi="宋体"/>
          <w:color w:val="000000"/>
          <w:sz w:val="24"/>
          <w:szCs w:val="24"/>
        </w:rPr>
      </w:pPr>
      <w:r>
        <w:rPr>
          <w:rFonts w:hint="eastAsia" w:ascii="宋体" w:hAnsi="宋体"/>
          <w:color w:val="000000"/>
          <w:sz w:val="24"/>
          <w:szCs w:val="24"/>
        </w:rPr>
        <w:t>30.4.1质疑投标人的名称、地址、邮编、联系人、联系电话；</w:t>
      </w:r>
    </w:p>
    <w:p>
      <w:pPr>
        <w:snapToGrid w:val="0"/>
        <w:spacing w:line="480" w:lineRule="exact"/>
        <w:ind w:firstLine="468" w:firstLineChars="195"/>
        <w:rPr>
          <w:rFonts w:ascii="宋体" w:hAnsi="宋体"/>
          <w:color w:val="000000"/>
          <w:sz w:val="24"/>
          <w:szCs w:val="24"/>
        </w:rPr>
      </w:pPr>
      <w:r>
        <w:rPr>
          <w:rFonts w:hint="eastAsia" w:ascii="宋体" w:hAnsi="宋体"/>
          <w:color w:val="000000"/>
          <w:sz w:val="24"/>
          <w:szCs w:val="24"/>
        </w:rPr>
        <w:t>30.4.2具体的质疑事项及明确的请求；</w:t>
      </w:r>
    </w:p>
    <w:p>
      <w:pPr>
        <w:snapToGrid w:val="0"/>
        <w:spacing w:line="480" w:lineRule="exact"/>
        <w:ind w:firstLine="468" w:firstLineChars="195"/>
        <w:rPr>
          <w:rFonts w:ascii="宋体" w:hAnsi="宋体"/>
          <w:color w:val="000000"/>
          <w:sz w:val="24"/>
          <w:szCs w:val="24"/>
        </w:rPr>
      </w:pPr>
      <w:r>
        <w:rPr>
          <w:rFonts w:hint="eastAsia" w:ascii="宋体" w:hAnsi="宋体"/>
          <w:color w:val="000000"/>
          <w:sz w:val="24"/>
          <w:szCs w:val="24"/>
        </w:rPr>
        <w:t>30.4.3认为自己合法权益受到损害或可能受到损害的相关证据材料；</w:t>
      </w:r>
    </w:p>
    <w:p>
      <w:pPr>
        <w:snapToGrid w:val="0"/>
        <w:spacing w:line="480" w:lineRule="exact"/>
        <w:ind w:firstLine="468" w:firstLineChars="195"/>
        <w:rPr>
          <w:rFonts w:ascii="宋体" w:hAnsi="宋体"/>
          <w:color w:val="000000"/>
          <w:sz w:val="24"/>
          <w:szCs w:val="24"/>
        </w:rPr>
      </w:pPr>
      <w:r>
        <w:rPr>
          <w:rFonts w:hint="eastAsia" w:ascii="宋体" w:hAnsi="宋体"/>
          <w:color w:val="000000"/>
          <w:sz w:val="24"/>
          <w:szCs w:val="24"/>
        </w:rPr>
        <w:t>30.4.4提起质疑的日期；</w:t>
      </w:r>
    </w:p>
    <w:p>
      <w:pPr>
        <w:snapToGrid w:val="0"/>
        <w:spacing w:line="500" w:lineRule="exact"/>
        <w:ind w:firstLine="480" w:firstLineChars="200"/>
        <w:rPr>
          <w:rFonts w:ascii="宋体" w:hAnsi="宋体"/>
          <w:color w:val="000000"/>
          <w:sz w:val="24"/>
          <w:szCs w:val="24"/>
        </w:rPr>
      </w:pPr>
      <w:r>
        <w:rPr>
          <w:rFonts w:hint="eastAsia" w:ascii="宋体" w:hAnsi="宋体"/>
          <w:color w:val="000000"/>
          <w:sz w:val="24"/>
          <w:szCs w:val="24"/>
        </w:rPr>
        <w:t>30.4.5质疑函应当署名：供应商为自然人的，应当由本人签字；供应商为法人或者其他组织的，应当由法定代表人、主要负责人，或者其授权代表签字或者盖章，并加盖公章。（质疑人为联合体的，则联合体各方法定代表人均须签字并加盖单位公章）。供应商委托代理质疑的，应当向采购人、采购代理机构提交授权委托书，并载明代理人的姓名或者名称、代理事项、具体权限、期限和相关事项。</w:t>
      </w:r>
    </w:p>
    <w:p>
      <w:pPr>
        <w:adjustRightInd w:val="0"/>
        <w:spacing w:line="500" w:lineRule="exact"/>
        <w:rPr>
          <w:rFonts w:ascii="宋体" w:hAnsi="宋体"/>
          <w:color w:val="000000"/>
          <w:sz w:val="24"/>
          <w:szCs w:val="24"/>
        </w:rPr>
      </w:pPr>
      <w:r>
        <w:rPr>
          <w:rFonts w:hint="eastAsia" w:ascii="宋体" w:hAnsi="宋体"/>
          <w:sz w:val="24"/>
          <w:szCs w:val="24"/>
        </w:rPr>
        <w:t xml:space="preserve"> 供应商认为采购文件、采购过程、中标或者成交结果使自己的权益受到损害的，应当在法定质疑期内一次性提出针对同一采购程序环节的质疑。两次或多次对同一采购程序环节提出的质疑，采购人、采购代理机构将拒收。</w:t>
      </w:r>
    </w:p>
    <w:p>
      <w:pPr>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30.5采购人、采购代理机构收到质疑函后，将对质疑的形式和内容进行审查，如质疑函内容、格式不符合规定，采购人、采购代理机构将告知质疑人进行补正。</w:t>
      </w:r>
    </w:p>
    <w:p>
      <w:pPr>
        <w:snapToGrid w:val="0"/>
        <w:spacing w:line="480" w:lineRule="exact"/>
        <w:ind w:firstLine="468" w:firstLineChars="195"/>
        <w:rPr>
          <w:rFonts w:ascii="宋体" w:hAnsi="宋体"/>
          <w:color w:val="000000"/>
          <w:sz w:val="24"/>
          <w:szCs w:val="24"/>
        </w:rPr>
      </w:pPr>
      <w:r>
        <w:rPr>
          <w:rFonts w:hint="eastAsia" w:ascii="宋体" w:hAnsi="宋体"/>
          <w:color w:val="000000"/>
          <w:sz w:val="24"/>
          <w:szCs w:val="24"/>
        </w:rPr>
        <w:t>30.6质疑人应当在法定质疑期限内进行补正并重新提交质疑函，拒不补正或者在法定期限内未重新提交质疑函的，为无效质疑，采购人、采购代理机构将不予受理。</w:t>
      </w:r>
    </w:p>
    <w:p>
      <w:pPr>
        <w:snapToGrid w:val="0"/>
        <w:spacing w:line="480" w:lineRule="exact"/>
        <w:ind w:firstLine="468" w:firstLineChars="195"/>
        <w:rPr>
          <w:rFonts w:ascii="宋体" w:hAnsi="宋体"/>
          <w:color w:val="000000"/>
          <w:sz w:val="24"/>
          <w:szCs w:val="24"/>
        </w:rPr>
      </w:pPr>
      <w:r>
        <w:rPr>
          <w:rFonts w:hint="eastAsia" w:ascii="宋体" w:hAnsi="宋体"/>
          <w:color w:val="000000"/>
          <w:sz w:val="24"/>
          <w:szCs w:val="24"/>
        </w:rPr>
        <w:t>30.7对于内容、格式符合规定的质疑函，采购人、采购代理机构应当在收到投标投标人的书面质疑后七个工作日内作出答复，并以书面形式通知质疑人和其他相关投标人，但答复的内容不得涉及商业秘密。</w:t>
      </w:r>
    </w:p>
    <w:p>
      <w:pPr>
        <w:snapToGrid w:val="0"/>
        <w:spacing w:line="500" w:lineRule="exact"/>
        <w:ind w:firstLine="468" w:firstLineChars="195"/>
        <w:rPr>
          <w:rFonts w:ascii="宋体" w:hAnsi="宋体"/>
          <w:color w:val="000000"/>
          <w:sz w:val="24"/>
          <w:szCs w:val="24"/>
        </w:rPr>
      </w:pPr>
      <w:r>
        <w:rPr>
          <w:rFonts w:hint="eastAsia" w:ascii="宋体" w:hAnsi="宋体"/>
          <w:color w:val="000000"/>
          <w:sz w:val="24"/>
          <w:szCs w:val="24"/>
        </w:rPr>
        <w:t>30.8投标人提出书面质疑必须有理、有据，不得恶意质疑或提交虚假质疑。否则，一经查实，采购人有权依据政府采购的有关规定，报请政府采购监管部门对该投标人进行相应的行政处罚。</w:t>
      </w:r>
    </w:p>
    <w:p>
      <w:pPr>
        <w:pStyle w:val="10"/>
        <w:spacing w:before="0" w:after="0" w:line="240" w:lineRule="auto"/>
        <w:ind w:firstLine="361" w:firstLineChars="150"/>
        <w:rPr>
          <w:rFonts w:ascii="黑体" w:hAnsi="宋体" w:cs="Times New Roman"/>
          <w:b w:val="0"/>
          <w:color w:val="000000"/>
          <w:sz w:val="30"/>
          <w:szCs w:val="30"/>
        </w:rPr>
      </w:pPr>
      <w:r>
        <w:rPr>
          <w:rFonts w:hint="eastAsia" w:ascii="宋体" w:hAnsi="宋体" w:eastAsia="宋体"/>
          <w:sz w:val="24"/>
          <w:szCs w:val="24"/>
        </w:rPr>
        <w:t>31、中标通知书</w:t>
      </w:r>
    </w:p>
    <w:p>
      <w:pPr>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31.l中标结果确定后，采购中心将向中标供应商发出中标通知书。</w:t>
      </w:r>
    </w:p>
    <w:p>
      <w:pPr>
        <w:snapToGrid w:val="0"/>
        <w:spacing w:line="500" w:lineRule="exact"/>
        <w:ind w:firstLine="480" w:firstLineChars="200"/>
        <w:rPr>
          <w:rFonts w:ascii="宋体" w:hAnsi="宋体"/>
          <w:color w:val="000000"/>
          <w:sz w:val="24"/>
          <w:szCs w:val="24"/>
        </w:rPr>
      </w:pPr>
      <w:r>
        <w:rPr>
          <w:rFonts w:hint="eastAsia" w:ascii="宋体" w:hAnsi="宋体"/>
          <w:color w:val="000000"/>
          <w:sz w:val="24"/>
          <w:szCs w:val="24"/>
        </w:rPr>
        <w:t>31.2 中标人收到中标通知书后，应签字确认中标通知书已收到。若无回复，则公告后视同中标人已经知悉并同意接受。</w:t>
      </w:r>
    </w:p>
    <w:p>
      <w:pPr>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31.3中标通知书将是合同的一个组成部分。对采购人和中标供应商均具有法律效力。中标通知书发出后，采购人改变中标结果的，或者中标供应商放弃中标项目的，应当依法承担法律责任。</w:t>
      </w:r>
    </w:p>
    <w:p>
      <w:pPr>
        <w:pStyle w:val="9"/>
        <w:spacing w:beforeLines="50" w:afterLines="50" w:line="360" w:lineRule="auto"/>
        <w:ind w:firstLine="241" w:firstLineChars="100"/>
        <w:rPr>
          <w:rFonts w:ascii="宋体" w:hAnsi="宋体" w:cs="Arial"/>
          <w:sz w:val="24"/>
          <w:szCs w:val="24"/>
        </w:rPr>
      </w:pPr>
      <w:bookmarkStart w:id="139" w:name="_Toc120614220"/>
      <w:bookmarkStart w:id="140" w:name="_Toc16938552"/>
      <w:bookmarkStart w:id="141" w:name="_Toc20823308"/>
      <w:bookmarkStart w:id="142" w:name="_Toc513029236"/>
      <w:r>
        <w:rPr>
          <w:rFonts w:hint="eastAsia" w:ascii="宋体" w:hAnsi="宋体" w:cs="Arial"/>
          <w:sz w:val="24"/>
          <w:szCs w:val="24"/>
        </w:rPr>
        <w:t>七、合同</w:t>
      </w:r>
      <w:bookmarkEnd w:id="139"/>
      <w:r>
        <w:rPr>
          <w:rFonts w:hint="eastAsia" w:ascii="宋体" w:hAnsi="宋体" w:cs="Arial"/>
          <w:sz w:val="24"/>
          <w:szCs w:val="24"/>
        </w:rPr>
        <w:t>签订相关事项</w:t>
      </w:r>
    </w:p>
    <w:bookmarkEnd w:id="140"/>
    <w:bookmarkEnd w:id="141"/>
    <w:bookmarkEnd w:id="142"/>
    <w:p>
      <w:pPr>
        <w:pStyle w:val="10"/>
        <w:spacing w:before="0" w:after="0" w:line="240" w:lineRule="auto"/>
        <w:ind w:firstLine="361" w:firstLineChars="150"/>
        <w:rPr>
          <w:rFonts w:ascii="黑体" w:hAnsi="宋体" w:cs="Times New Roman"/>
          <w:b w:val="0"/>
          <w:color w:val="000000"/>
          <w:sz w:val="30"/>
          <w:szCs w:val="30"/>
        </w:rPr>
      </w:pPr>
      <w:bookmarkStart w:id="143" w:name="_Toc513029237"/>
      <w:bookmarkStart w:id="144" w:name="_Toc20823309"/>
      <w:bookmarkStart w:id="145" w:name="_Toc16938553"/>
      <w:r>
        <w:rPr>
          <w:rFonts w:hint="eastAsia" w:ascii="宋体" w:hAnsi="宋体" w:eastAsia="宋体"/>
          <w:sz w:val="24"/>
          <w:szCs w:val="24"/>
        </w:rPr>
        <w:t>32. 签订合同</w:t>
      </w:r>
    </w:p>
    <w:p>
      <w:pPr>
        <w:snapToGrid w:val="0"/>
        <w:spacing w:line="480" w:lineRule="exact"/>
        <w:ind w:firstLine="480" w:firstLineChars="200"/>
        <w:rPr>
          <w:rFonts w:ascii="宋体" w:hAnsi="宋体"/>
          <w:color w:val="000000"/>
          <w:sz w:val="24"/>
          <w:szCs w:val="24"/>
        </w:rPr>
      </w:pPr>
      <w:r>
        <w:rPr>
          <w:rFonts w:hint="eastAsia" w:ascii="宋体" w:hAnsi="宋体"/>
          <w:bCs/>
          <w:color w:val="000000"/>
          <w:sz w:val="24"/>
          <w:szCs w:val="24"/>
        </w:rPr>
        <w:t>32</w:t>
      </w:r>
      <w:r>
        <w:rPr>
          <w:rFonts w:hint="eastAsia" w:ascii="宋体" w:hAnsi="宋体"/>
          <w:color w:val="000000"/>
          <w:sz w:val="24"/>
          <w:szCs w:val="24"/>
        </w:rPr>
        <w:t>.l中标供应商应按中标通知书规定的时间、地点,按照招标文件确定的事项与采购人签订政府采购合同，且不得迟于中标通知书发出之日起十五日内，由此给采购人造成损失的，中标供应商还应承担赔偿责任。</w:t>
      </w:r>
    </w:p>
    <w:p>
      <w:pPr>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32.2招标文件、中标供应商的投标文件及招标过程中有关澄清、承诺文件均应作为合同附件。</w:t>
      </w:r>
    </w:p>
    <w:p>
      <w:pPr>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32.3 签订合同后，中标供应商不得将货物及其他相关服务进行转包。未经采购人同意，中标供应商也不得采用分包的形式履行合同，否则采购人有权终止合同，中标供应商的履约保证金将不予退还。转包或分包造成采购人损失的，中标供应商应承担相应赔偿责任。</w:t>
      </w:r>
    </w:p>
    <w:p>
      <w:pPr>
        <w:snapToGrid w:val="0"/>
        <w:spacing w:line="480" w:lineRule="exact"/>
        <w:ind w:firstLine="482" w:firstLineChars="200"/>
        <w:rPr>
          <w:rFonts w:ascii="宋体" w:hAnsi="宋体"/>
          <w:b/>
          <w:bCs/>
          <w:color w:val="000000"/>
          <w:sz w:val="24"/>
          <w:szCs w:val="24"/>
        </w:rPr>
      </w:pPr>
      <w:r>
        <w:rPr>
          <w:rFonts w:hint="eastAsia" w:ascii="宋体" w:hAnsi="宋体"/>
          <w:b/>
          <w:bCs/>
          <w:color w:val="000000"/>
          <w:sz w:val="24"/>
          <w:szCs w:val="24"/>
        </w:rPr>
        <w:t>32.4中标或者成交后无正当理由拒不与采购人签订政府采购合同的，将被列入不良行为记录名单，在一至三年内禁止参加政府采购活动。</w:t>
      </w:r>
    </w:p>
    <w:p>
      <w:pPr>
        <w:pStyle w:val="10"/>
        <w:spacing w:before="0" w:after="0" w:line="240" w:lineRule="auto"/>
        <w:ind w:firstLine="422" w:firstLineChars="150"/>
        <w:rPr>
          <w:rFonts w:ascii="宋体" w:hAnsi="宋体" w:eastAsia="宋体"/>
          <w:sz w:val="24"/>
          <w:szCs w:val="24"/>
        </w:rPr>
      </w:pPr>
      <w:r>
        <w:rPr>
          <w:rFonts w:hint="eastAsia" w:ascii="宋体" w:hAnsi="宋体" w:eastAsia="宋体"/>
        </w:rPr>
        <w:t>33、货物和服务的追加、减少和添购。</w:t>
      </w:r>
    </w:p>
    <w:p>
      <w:pPr>
        <w:spacing w:line="480" w:lineRule="exact"/>
        <w:ind w:firstLine="480" w:firstLineChars="200"/>
        <w:rPr>
          <w:rFonts w:ascii="宋体" w:hAnsi="宋体"/>
          <w:color w:val="000000"/>
          <w:sz w:val="24"/>
          <w:szCs w:val="24"/>
        </w:rPr>
      </w:pPr>
      <w:r>
        <w:rPr>
          <w:rFonts w:hint="eastAsia" w:ascii="宋体" w:hAnsi="宋体"/>
          <w:color w:val="000000"/>
          <w:sz w:val="24"/>
          <w:szCs w:val="24"/>
        </w:rPr>
        <w:t>33.1政府采购合同履行中，采购人需追加与合同标的相同的货物和服务的，在不改变合同其他条款的前提下，可以与中标供应商协商签订补充合同，但所有补充合同的采购金额不超过原合同金额10%。</w:t>
      </w:r>
    </w:p>
    <w:p>
      <w:pPr>
        <w:spacing w:line="480" w:lineRule="exact"/>
        <w:ind w:firstLine="600" w:firstLineChars="250"/>
        <w:rPr>
          <w:rFonts w:ascii="宋体" w:hAnsi="宋体"/>
          <w:b/>
          <w:color w:val="000000"/>
          <w:sz w:val="24"/>
          <w:szCs w:val="24"/>
        </w:rPr>
      </w:pPr>
      <w:r>
        <w:rPr>
          <w:rFonts w:hint="eastAsia" w:ascii="宋体" w:hAnsi="宋体"/>
          <w:color w:val="000000"/>
          <w:sz w:val="24"/>
          <w:szCs w:val="24"/>
        </w:rPr>
        <w:t>33.2采购结束后，采购人若由于各种客观原因，必须对采购项目所牵涉的货物和服务进行适当的减少时，在双方协商一致的前提下，可以按照招标采购时的价格水平做相应的调减，并据此签订补充合同。</w:t>
      </w:r>
    </w:p>
    <w:bookmarkEnd w:id="143"/>
    <w:bookmarkEnd w:id="144"/>
    <w:bookmarkEnd w:id="145"/>
    <w:p>
      <w:pPr>
        <w:tabs>
          <w:tab w:val="left" w:pos="900"/>
        </w:tabs>
        <w:spacing w:afterLines="50" w:line="560" w:lineRule="exact"/>
        <w:ind w:firstLine="422" w:firstLineChars="150"/>
        <w:rPr>
          <w:rFonts w:ascii="黑体" w:hAnsi="宋体" w:eastAsia="黑体"/>
          <w:bCs/>
          <w:color w:val="000000"/>
          <w:sz w:val="30"/>
          <w:szCs w:val="30"/>
        </w:rPr>
      </w:pPr>
      <w:r>
        <w:rPr>
          <w:rFonts w:hint="eastAsia" w:ascii="宋体" w:hAnsi="宋体" w:cs="Arial"/>
          <w:b/>
          <w:bCs/>
          <w:sz w:val="28"/>
          <w:szCs w:val="28"/>
        </w:rPr>
        <w:t>34、履约保证金</w:t>
      </w:r>
    </w:p>
    <w:p>
      <w:pPr>
        <w:tabs>
          <w:tab w:val="left" w:pos="900"/>
        </w:tabs>
        <w:spacing w:afterLines="50" w:line="560" w:lineRule="exact"/>
        <w:ind w:firstLine="480" w:firstLineChars="200"/>
        <w:rPr>
          <w:rFonts w:ascii="宋体" w:hAnsi="宋体"/>
          <w:color w:val="000000"/>
          <w:sz w:val="24"/>
        </w:rPr>
      </w:pPr>
      <w:r>
        <w:rPr>
          <w:rFonts w:hint="eastAsia" w:ascii="宋体" w:hAnsi="宋体"/>
          <w:color w:val="000000"/>
          <w:sz w:val="24"/>
        </w:rPr>
        <w:t>在签订合同时，须向采购人交纳履约保证金,于合同履行后无息退还。履约保证金用以约束成交供应商在合同履行中的行为，弥补合同执行中由于自身行为可能给采购人带来的各种损失。鼓励采购人对AA评级及以上政府采购供应商（需提供信用管理部门备案的第三方信用报告），免收履约保证金或降低履约保证金缴纳比例。</w:t>
      </w:r>
    </w:p>
    <w:p>
      <w:pPr>
        <w:tabs>
          <w:tab w:val="left" w:pos="900"/>
        </w:tabs>
        <w:spacing w:afterLines="50" w:line="500" w:lineRule="exact"/>
        <w:ind w:firstLine="719" w:firstLineChars="199"/>
        <w:jc w:val="center"/>
        <w:rPr>
          <w:rFonts w:ascii="宋体"/>
          <w:b/>
          <w:sz w:val="24"/>
          <w:szCs w:val="24"/>
        </w:rPr>
      </w:pPr>
      <w:r>
        <w:rPr>
          <w:rFonts w:hint="eastAsia" w:ascii="宋体" w:hAnsi="宋体"/>
          <w:b/>
          <w:bCs/>
          <w:sz w:val="36"/>
          <w:szCs w:val="36"/>
        </w:rPr>
        <w:t>第三章  合同条款及</w:t>
      </w:r>
      <w:bookmarkEnd w:id="49"/>
      <w:bookmarkEnd w:id="50"/>
      <w:bookmarkEnd w:id="51"/>
      <w:bookmarkEnd w:id="52"/>
      <w:bookmarkEnd w:id="53"/>
      <w:r>
        <w:rPr>
          <w:rFonts w:hint="eastAsia" w:ascii="宋体" w:hAnsi="宋体"/>
          <w:b/>
          <w:bCs/>
          <w:sz w:val="36"/>
          <w:szCs w:val="36"/>
        </w:rPr>
        <w:t>格式</w:t>
      </w:r>
    </w:p>
    <w:p>
      <w:pPr>
        <w:spacing w:line="500" w:lineRule="exact"/>
        <w:ind w:firstLine="480" w:firstLineChars="200"/>
        <w:rPr>
          <w:rFonts w:ascii="宋体"/>
          <w:bCs/>
          <w:sz w:val="24"/>
          <w:szCs w:val="24"/>
        </w:rPr>
      </w:pPr>
      <w:bookmarkStart w:id="146" w:name="_Toc20823315"/>
      <w:bookmarkStart w:id="147" w:name="_Toc513029243"/>
      <w:bookmarkStart w:id="148" w:name="_Toc16938559"/>
      <w:r>
        <w:rPr>
          <w:rFonts w:hint="eastAsia" w:ascii="宋体" w:hAnsi="宋体"/>
          <w:bCs/>
          <w:sz w:val="24"/>
          <w:szCs w:val="24"/>
        </w:rPr>
        <w:t>以下为中标后签定本项目合同的通用条款，中标人不得提出实质性的修改，关于专用条款将由采购人与中标人结合本项目具体情况协商后签订。</w:t>
      </w:r>
    </w:p>
    <w:p>
      <w:pPr>
        <w:snapToGrid w:val="0"/>
        <w:spacing w:beforeLines="50" w:afterLines="50" w:line="500" w:lineRule="exact"/>
        <w:jc w:val="center"/>
        <w:outlineLvl w:val="0"/>
        <w:rPr>
          <w:rFonts w:ascii="宋体"/>
          <w:b/>
          <w:bCs/>
          <w:sz w:val="24"/>
          <w:szCs w:val="24"/>
        </w:rPr>
      </w:pPr>
      <w:r>
        <w:rPr>
          <w:rFonts w:hint="eastAsia" w:ascii="宋体" w:hAnsi="宋体"/>
          <w:b/>
          <w:sz w:val="24"/>
          <w:szCs w:val="24"/>
        </w:rPr>
        <w:t>政府采购合同（合同编号）</w:t>
      </w:r>
    </w:p>
    <w:p>
      <w:pPr>
        <w:pStyle w:val="24"/>
        <w:snapToGrid w:val="0"/>
        <w:spacing w:before="120" w:after="120" w:line="500" w:lineRule="exact"/>
        <w:rPr>
          <w:rFonts w:hAnsi="宋体"/>
          <w:sz w:val="24"/>
          <w:szCs w:val="24"/>
        </w:rPr>
      </w:pPr>
      <w:r>
        <w:rPr>
          <w:rFonts w:hint="eastAsia" w:hAnsi="宋体"/>
          <w:sz w:val="24"/>
          <w:szCs w:val="24"/>
        </w:rPr>
        <w:t>项目名称：</w:t>
      </w:r>
      <w:r>
        <w:rPr>
          <w:rFonts w:hint="eastAsia" w:asciiTheme="minorEastAsia" w:hAnsiTheme="minorEastAsia" w:eastAsiaTheme="minorEastAsia"/>
          <w:sz w:val="24"/>
          <w:szCs w:val="24"/>
        </w:rPr>
        <w:t>盐城区地下水污染防治规划方案项目</w:t>
      </w:r>
    </w:p>
    <w:p>
      <w:pPr>
        <w:pStyle w:val="24"/>
        <w:snapToGrid w:val="0"/>
        <w:spacing w:before="120" w:after="120" w:line="500" w:lineRule="exact"/>
        <w:rPr>
          <w:rFonts w:hint="eastAsia" w:hAnsi="宋体" w:eastAsia="宋体"/>
          <w:sz w:val="24"/>
          <w:szCs w:val="24"/>
          <w:lang w:eastAsia="zh-CN"/>
        </w:rPr>
      </w:pPr>
      <w:r>
        <w:rPr>
          <w:rFonts w:hint="eastAsia" w:hAnsi="宋体"/>
          <w:sz w:val="24"/>
          <w:szCs w:val="24"/>
        </w:rPr>
        <w:t>项目编号：YDZC</w:t>
      </w:r>
      <w:r>
        <w:rPr>
          <w:rFonts w:hint="eastAsia" w:hAnsi="宋体"/>
          <w:color w:val="C00000"/>
          <w:sz w:val="24"/>
          <w:szCs w:val="24"/>
        </w:rPr>
        <w:t xml:space="preserve"> </w:t>
      </w:r>
      <w:r>
        <w:rPr>
          <w:rFonts w:hint="eastAsia" w:hAnsi="宋体"/>
          <w:color w:val="auto"/>
          <w:sz w:val="24"/>
          <w:szCs w:val="24"/>
        </w:rPr>
        <w:t xml:space="preserve"> 2021-FS</w:t>
      </w:r>
      <w:r>
        <w:rPr>
          <w:rFonts w:hint="eastAsia" w:hAnsi="宋体"/>
          <w:color w:val="auto"/>
          <w:sz w:val="24"/>
          <w:szCs w:val="24"/>
          <w:lang w:val="en-US" w:eastAsia="zh-CN"/>
        </w:rPr>
        <w:t xml:space="preserve"> </w:t>
      </w:r>
    </w:p>
    <w:p>
      <w:pPr>
        <w:pStyle w:val="24"/>
        <w:snapToGrid w:val="0"/>
        <w:spacing w:before="120" w:after="120" w:line="500" w:lineRule="exact"/>
        <w:rPr>
          <w:rFonts w:hint="eastAsia" w:hAnsi="宋体" w:eastAsia="宋体"/>
          <w:sz w:val="24"/>
          <w:szCs w:val="24"/>
          <w:lang w:eastAsia="zh-CN"/>
        </w:rPr>
      </w:pPr>
      <w:r>
        <w:rPr>
          <w:rFonts w:hint="eastAsia" w:hAnsi="宋体"/>
          <w:sz w:val="24"/>
          <w:szCs w:val="24"/>
        </w:rPr>
        <w:t>甲方：（</w:t>
      </w:r>
      <w:r>
        <w:rPr>
          <w:rFonts w:hint="eastAsia" w:hAnsi="宋体"/>
          <w:sz w:val="24"/>
          <w:szCs w:val="24"/>
          <w:lang w:val="en-US" w:eastAsia="zh-CN"/>
        </w:rPr>
        <w:t>委托方</w:t>
      </w:r>
      <w:r>
        <w:rPr>
          <w:rFonts w:hint="eastAsia" w:hAnsi="宋体"/>
          <w:sz w:val="24"/>
          <w:szCs w:val="24"/>
        </w:rPr>
        <w:t>）</w:t>
      </w:r>
      <w:r>
        <w:rPr>
          <w:rFonts w:hint="eastAsia" w:hAnsi="宋体"/>
          <w:sz w:val="24"/>
          <w:szCs w:val="24"/>
          <w:u w:val="single"/>
          <w:lang w:eastAsia="zh-CN"/>
        </w:rPr>
        <w:t>盐城市盐都生态环境局</w:t>
      </w:r>
    </w:p>
    <w:p>
      <w:pPr>
        <w:pStyle w:val="24"/>
        <w:snapToGrid w:val="0"/>
        <w:spacing w:before="120" w:after="120" w:line="500" w:lineRule="exact"/>
        <w:rPr>
          <w:rFonts w:hAnsi="宋体"/>
          <w:sz w:val="24"/>
          <w:szCs w:val="24"/>
        </w:rPr>
      </w:pPr>
      <w:r>
        <w:rPr>
          <w:rFonts w:hint="eastAsia" w:hAnsi="宋体"/>
          <w:sz w:val="24"/>
          <w:szCs w:val="24"/>
        </w:rPr>
        <w:t>乙方：（</w:t>
      </w:r>
      <w:r>
        <w:rPr>
          <w:rFonts w:hint="eastAsia" w:hAnsi="宋体"/>
          <w:sz w:val="24"/>
          <w:szCs w:val="24"/>
          <w:lang w:val="en-US" w:eastAsia="zh-CN"/>
        </w:rPr>
        <w:t>受托方</w:t>
      </w:r>
      <w:r>
        <w:rPr>
          <w:rFonts w:hint="eastAsia" w:hAnsi="宋体"/>
          <w:sz w:val="24"/>
          <w:szCs w:val="24"/>
        </w:rPr>
        <w:t>）</w:t>
      </w:r>
    </w:p>
    <w:p>
      <w:pPr>
        <w:pStyle w:val="24"/>
        <w:snapToGrid w:val="0"/>
        <w:spacing w:before="120" w:after="120" w:line="500" w:lineRule="exact"/>
        <w:rPr>
          <w:rFonts w:hAnsi="宋体"/>
          <w:b/>
          <w:sz w:val="24"/>
          <w:szCs w:val="24"/>
        </w:rPr>
      </w:pPr>
      <w:r>
        <w:rPr>
          <w:rFonts w:hint="eastAsia" w:hAnsi="宋体"/>
          <w:sz w:val="24"/>
          <w:szCs w:val="24"/>
        </w:rPr>
        <w:t>甲、乙双方根据</w:t>
      </w:r>
      <w:r>
        <w:rPr>
          <w:rFonts w:hint="eastAsia" w:asciiTheme="minorEastAsia" w:hAnsiTheme="minorEastAsia" w:eastAsiaTheme="minorEastAsia"/>
          <w:sz w:val="24"/>
          <w:szCs w:val="24"/>
          <w:u w:val="single"/>
        </w:rPr>
        <w:t>盐城区地下水污染防治规划方案项目</w:t>
      </w:r>
      <w:r>
        <w:rPr>
          <w:rFonts w:hint="eastAsia" w:hAnsi="宋体"/>
          <w:sz w:val="24"/>
          <w:szCs w:val="24"/>
        </w:rPr>
        <w:t>公开招标的结果，签署本合同。</w:t>
      </w:r>
    </w:p>
    <w:bookmarkEnd w:id="146"/>
    <w:bookmarkEnd w:id="147"/>
    <w:bookmarkEnd w:id="148"/>
    <w:p>
      <w:pPr>
        <w:pStyle w:val="24"/>
        <w:snapToGrid w:val="0"/>
        <w:spacing w:before="120" w:after="120" w:line="500" w:lineRule="exact"/>
        <w:rPr>
          <w:rFonts w:hAnsi="宋体"/>
          <w:b/>
          <w:color w:val="000000" w:themeColor="text1"/>
          <w:sz w:val="24"/>
          <w:szCs w:val="24"/>
        </w:rPr>
      </w:pPr>
      <w:bookmarkStart w:id="149" w:name="_Toc16938590"/>
      <w:bookmarkStart w:id="150" w:name="_Toc120614244"/>
      <w:bookmarkStart w:id="151" w:name="_Toc20823346"/>
      <w:bookmarkStart w:id="152" w:name="_Toc462564139"/>
      <w:bookmarkStart w:id="153" w:name="_Toc479757211"/>
      <w:r>
        <w:rPr>
          <w:rFonts w:hint="eastAsia" w:hAnsi="宋体"/>
          <w:b/>
          <w:color w:val="000000" w:themeColor="text1"/>
          <w:sz w:val="24"/>
          <w:szCs w:val="24"/>
        </w:rPr>
        <w:t>一、货物内容</w:t>
      </w:r>
    </w:p>
    <w:p>
      <w:pPr>
        <w:pStyle w:val="24"/>
        <w:snapToGrid w:val="0"/>
        <w:spacing w:before="120" w:after="120" w:line="500" w:lineRule="exact"/>
        <w:ind w:firstLine="480" w:firstLineChars="200"/>
        <w:rPr>
          <w:rFonts w:hAnsi="宋体"/>
          <w:color w:val="000000" w:themeColor="text1"/>
          <w:sz w:val="24"/>
          <w:szCs w:val="24"/>
        </w:rPr>
      </w:pPr>
      <w:r>
        <w:rPr>
          <w:rFonts w:hAnsi="宋体"/>
          <w:color w:val="000000" w:themeColor="text1"/>
          <w:sz w:val="24"/>
          <w:szCs w:val="24"/>
        </w:rPr>
        <w:t xml:space="preserve">1.1 </w:t>
      </w:r>
      <w:r>
        <w:rPr>
          <w:rFonts w:hint="eastAsia" w:hAnsi="宋体"/>
          <w:color w:val="000000" w:themeColor="text1"/>
          <w:sz w:val="24"/>
          <w:szCs w:val="24"/>
        </w:rPr>
        <w:t>货物名称：</w:t>
      </w:r>
      <w:r>
        <w:rPr>
          <w:rFonts w:hint="eastAsia" w:asciiTheme="minorEastAsia" w:hAnsiTheme="minorEastAsia" w:eastAsiaTheme="minorEastAsia"/>
          <w:sz w:val="24"/>
          <w:szCs w:val="24"/>
          <w:u w:val="single"/>
        </w:rPr>
        <w:t>盐城区地下水污染防治规划方案项目</w:t>
      </w:r>
    </w:p>
    <w:p>
      <w:pPr>
        <w:pStyle w:val="24"/>
        <w:snapToGrid w:val="0"/>
        <w:spacing w:before="120" w:after="120" w:line="500" w:lineRule="exact"/>
        <w:rPr>
          <w:rFonts w:hAnsi="宋体"/>
          <w:b/>
          <w:color w:val="000000" w:themeColor="text1"/>
          <w:sz w:val="24"/>
          <w:szCs w:val="24"/>
        </w:rPr>
      </w:pPr>
      <w:r>
        <w:rPr>
          <w:rFonts w:hint="eastAsia" w:hAnsi="宋体"/>
          <w:b/>
          <w:color w:val="000000" w:themeColor="text1"/>
          <w:sz w:val="24"/>
          <w:szCs w:val="24"/>
        </w:rPr>
        <w:t>二、合同金额</w:t>
      </w:r>
    </w:p>
    <w:p>
      <w:pPr>
        <w:pStyle w:val="24"/>
        <w:snapToGrid w:val="0"/>
        <w:spacing w:before="120" w:after="120" w:line="500" w:lineRule="exact"/>
        <w:ind w:left="479" w:leftChars="228" w:firstLine="69" w:firstLineChars="29"/>
        <w:rPr>
          <w:rFonts w:hAnsi="宋体"/>
          <w:color w:val="000000" w:themeColor="text1"/>
          <w:sz w:val="24"/>
          <w:szCs w:val="24"/>
        </w:rPr>
      </w:pPr>
      <w:r>
        <w:rPr>
          <w:rFonts w:hAnsi="宋体"/>
          <w:color w:val="000000" w:themeColor="text1"/>
          <w:sz w:val="24"/>
          <w:szCs w:val="24"/>
        </w:rPr>
        <w:t xml:space="preserve">2.1 </w:t>
      </w:r>
      <w:r>
        <w:rPr>
          <w:rFonts w:hint="eastAsia" w:hAnsi="宋体"/>
          <w:color w:val="000000" w:themeColor="text1"/>
          <w:sz w:val="24"/>
          <w:szCs w:val="24"/>
        </w:rPr>
        <w:t>本合同金额为：人民币</w:t>
      </w:r>
      <w:r>
        <w:rPr>
          <w:rFonts w:hint="eastAsia" w:hAnsi="宋体"/>
          <w:color w:val="000000" w:themeColor="text1"/>
          <w:sz w:val="24"/>
          <w:szCs w:val="24"/>
          <w:u w:val="single"/>
        </w:rPr>
        <w:t xml:space="preserve">       </w:t>
      </w:r>
      <w:r>
        <w:rPr>
          <w:rFonts w:hint="eastAsia" w:hAnsi="宋体"/>
          <w:color w:val="000000" w:themeColor="text1"/>
          <w:sz w:val="24"/>
          <w:szCs w:val="24"/>
        </w:rPr>
        <w:t>（大写）元整</w:t>
      </w:r>
      <w:r>
        <w:rPr>
          <w:rFonts w:hint="eastAsia" w:ascii="新宋体" w:hAnsi="新宋体" w:eastAsia="新宋体"/>
          <w:sz w:val="24"/>
        </w:rPr>
        <w:t>（￥</w:t>
      </w:r>
      <w:r>
        <w:rPr>
          <w:rFonts w:hint="eastAsia" w:ascii="新宋体" w:hAnsi="新宋体" w:eastAsia="新宋体"/>
          <w:sz w:val="24"/>
          <w:u w:val="single"/>
        </w:rPr>
        <w:t xml:space="preserve">      </w:t>
      </w:r>
      <w:r>
        <w:rPr>
          <w:rFonts w:hint="eastAsia" w:ascii="新宋体" w:hAnsi="新宋体" w:eastAsia="新宋体"/>
          <w:sz w:val="24"/>
        </w:rPr>
        <w:t>元）</w:t>
      </w:r>
      <w:r>
        <w:rPr>
          <w:rFonts w:hint="eastAsia" w:hAnsi="宋体"/>
          <w:color w:val="000000" w:themeColor="text1"/>
          <w:sz w:val="24"/>
          <w:szCs w:val="24"/>
        </w:rPr>
        <w:t>。</w:t>
      </w:r>
    </w:p>
    <w:p>
      <w:pPr>
        <w:pStyle w:val="24"/>
        <w:snapToGrid w:val="0"/>
        <w:spacing w:before="120" w:after="120" w:line="500" w:lineRule="exact"/>
        <w:rPr>
          <w:rFonts w:hAnsi="宋体"/>
          <w:b/>
          <w:color w:val="000000" w:themeColor="text1"/>
          <w:sz w:val="24"/>
          <w:szCs w:val="24"/>
        </w:rPr>
      </w:pPr>
      <w:r>
        <w:rPr>
          <w:rFonts w:hint="eastAsia" w:hAnsi="宋体"/>
          <w:b/>
          <w:color w:val="000000" w:themeColor="text1"/>
          <w:sz w:val="24"/>
          <w:szCs w:val="24"/>
        </w:rPr>
        <w:t>三、技术资料</w:t>
      </w:r>
    </w:p>
    <w:p>
      <w:pPr>
        <w:pStyle w:val="24"/>
        <w:snapToGrid w:val="0"/>
        <w:spacing w:before="120" w:after="120" w:line="500" w:lineRule="exact"/>
        <w:ind w:left="479" w:leftChars="228" w:firstLine="69" w:firstLineChars="29"/>
        <w:rPr>
          <w:rFonts w:hAnsi="宋体"/>
          <w:color w:val="000000" w:themeColor="text1"/>
          <w:sz w:val="24"/>
          <w:szCs w:val="24"/>
        </w:rPr>
      </w:pPr>
      <w:r>
        <w:rPr>
          <w:rFonts w:hAnsi="宋体"/>
          <w:color w:val="000000" w:themeColor="text1"/>
          <w:sz w:val="24"/>
          <w:szCs w:val="24"/>
        </w:rPr>
        <w:t>3.1</w:t>
      </w:r>
      <w:r>
        <w:rPr>
          <w:rFonts w:hint="eastAsia" w:hAnsi="宋体"/>
          <w:color w:val="000000" w:themeColor="text1"/>
          <w:sz w:val="24"/>
          <w:szCs w:val="24"/>
        </w:rPr>
        <w:t>乙方应按招标文件规定的时间向甲方提供使用货物的有关技术资料。</w:t>
      </w:r>
    </w:p>
    <w:p>
      <w:pPr>
        <w:pStyle w:val="24"/>
        <w:snapToGrid w:val="0"/>
        <w:spacing w:before="120" w:after="120" w:line="500" w:lineRule="exact"/>
        <w:ind w:firstLine="480" w:firstLineChars="200"/>
        <w:rPr>
          <w:rFonts w:hAnsi="宋体"/>
          <w:color w:val="000000" w:themeColor="text1"/>
          <w:sz w:val="24"/>
          <w:szCs w:val="24"/>
        </w:rPr>
      </w:pPr>
      <w:r>
        <w:rPr>
          <w:rFonts w:hAnsi="宋体"/>
          <w:color w:val="000000" w:themeColor="text1"/>
          <w:sz w:val="24"/>
          <w:szCs w:val="24"/>
        </w:rPr>
        <w:t xml:space="preserve">3.2 </w:t>
      </w:r>
      <w:r>
        <w:rPr>
          <w:rFonts w:hint="eastAsia" w:hAnsi="宋体"/>
          <w:color w:val="000000" w:themeColor="text1"/>
          <w:sz w:val="24"/>
          <w:szCs w:val="24"/>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pStyle w:val="24"/>
        <w:snapToGrid w:val="0"/>
        <w:spacing w:before="120" w:after="120" w:line="500" w:lineRule="exact"/>
        <w:ind w:left="412" w:hanging="412" w:hangingChars="171"/>
        <w:rPr>
          <w:rFonts w:hAnsi="宋体"/>
          <w:b/>
          <w:color w:val="000000" w:themeColor="text1"/>
          <w:sz w:val="24"/>
          <w:szCs w:val="24"/>
        </w:rPr>
      </w:pPr>
      <w:r>
        <w:rPr>
          <w:rFonts w:hint="eastAsia" w:hAnsi="宋体"/>
          <w:b/>
          <w:color w:val="000000" w:themeColor="text1"/>
          <w:sz w:val="24"/>
          <w:szCs w:val="24"/>
        </w:rPr>
        <w:t>四、知识产权</w:t>
      </w:r>
    </w:p>
    <w:p>
      <w:pPr>
        <w:spacing w:line="360" w:lineRule="auto"/>
        <w:ind w:firstLine="420"/>
        <w:rPr>
          <w:rFonts w:ascii="宋体" w:hAnsi="宋体" w:cs="Courier New"/>
          <w:color w:val="000000" w:themeColor="text1"/>
          <w:sz w:val="24"/>
          <w:szCs w:val="24"/>
        </w:rPr>
      </w:pPr>
      <w:r>
        <w:rPr>
          <w:rFonts w:ascii="宋体" w:hAnsi="宋体" w:cs="Courier New"/>
          <w:color w:val="000000" w:themeColor="text1"/>
          <w:sz w:val="24"/>
          <w:szCs w:val="24"/>
        </w:rPr>
        <w:t>规划方案报告成果全部归甲方所有，乙方提交的《</w:t>
      </w:r>
      <w:r>
        <w:rPr>
          <w:rFonts w:hint="eastAsia" w:ascii="宋体" w:hAnsi="宋体" w:cs="Courier New"/>
          <w:color w:val="000000" w:themeColor="text1"/>
          <w:sz w:val="24"/>
          <w:szCs w:val="24"/>
        </w:rPr>
        <w:t>盐</w:t>
      </w:r>
      <w:r>
        <w:rPr>
          <w:rFonts w:ascii="宋体" w:hAnsi="宋体" w:cs="Courier New"/>
          <w:color w:val="000000" w:themeColor="text1"/>
          <w:sz w:val="24"/>
          <w:szCs w:val="24"/>
        </w:rPr>
        <w:t>都区地下水污染防治规划》报告以及相关图件，任何人不得将成果全部或部分泄漏或提供给第三方。</w:t>
      </w:r>
    </w:p>
    <w:p>
      <w:pPr>
        <w:pStyle w:val="24"/>
        <w:snapToGrid w:val="0"/>
        <w:spacing w:before="120" w:after="120" w:line="500" w:lineRule="exact"/>
        <w:rPr>
          <w:rFonts w:hAnsi="宋体"/>
          <w:color w:val="000000" w:themeColor="text1"/>
          <w:sz w:val="24"/>
          <w:szCs w:val="24"/>
          <w:u w:val="single"/>
        </w:rPr>
      </w:pPr>
      <w:r>
        <w:rPr>
          <w:rFonts w:hint="eastAsia" w:hAnsi="宋体"/>
          <w:b/>
          <w:color w:val="000000" w:themeColor="text1"/>
          <w:sz w:val="24"/>
          <w:szCs w:val="24"/>
        </w:rPr>
        <w:t>五、产权担保</w:t>
      </w:r>
    </w:p>
    <w:p>
      <w:pPr>
        <w:pStyle w:val="24"/>
        <w:snapToGrid w:val="0"/>
        <w:spacing w:before="120" w:after="120" w:line="500" w:lineRule="exact"/>
        <w:ind w:left="479" w:leftChars="228" w:firstLine="72" w:firstLineChars="30"/>
        <w:rPr>
          <w:rFonts w:hAnsi="宋体"/>
          <w:color w:val="000000" w:themeColor="text1"/>
          <w:sz w:val="24"/>
          <w:szCs w:val="24"/>
          <w:u w:val="single"/>
        </w:rPr>
      </w:pPr>
      <w:r>
        <w:rPr>
          <w:rFonts w:hAnsi="宋体"/>
          <w:color w:val="000000" w:themeColor="text1"/>
          <w:sz w:val="24"/>
          <w:szCs w:val="24"/>
        </w:rPr>
        <w:t xml:space="preserve">5.1 </w:t>
      </w:r>
      <w:r>
        <w:rPr>
          <w:rFonts w:hint="eastAsia" w:hAnsi="宋体"/>
          <w:color w:val="000000" w:themeColor="text1"/>
          <w:sz w:val="24"/>
          <w:szCs w:val="24"/>
        </w:rPr>
        <w:t>乙方保证所交付的货物的所有权完全属于乙方且无任何抵押、查封等产权瑕疵。</w:t>
      </w:r>
    </w:p>
    <w:p>
      <w:pPr>
        <w:pStyle w:val="24"/>
        <w:snapToGrid w:val="0"/>
        <w:spacing w:before="120" w:after="120" w:line="500" w:lineRule="exact"/>
        <w:ind w:left="410" w:hanging="410" w:hangingChars="170"/>
        <w:rPr>
          <w:rFonts w:hAnsi="宋体"/>
          <w:b/>
          <w:color w:val="000000" w:themeColor="text1"/>
          <w:sz w:val="24"/>
          <w:szCs w:val="24"/>
        </w:rPr>
      </w:pPr>
      <w:r>
        <w:rPr>
          <w:rFonts w:hint="eastAsia" w:hAnsi="宋体"/>
          <w:b/>
          <w:color w:val="000000" w:themeColor="text1"/>
          <w:sz w:val="24"/>
          <w:szCs w:val="24"/>
        </w:rPr>
        <w:t>六、履约保证金</w:t>
      </w:r>
    </w:p>
    <w:p>
      <w:pPr>
        <w:pStyle w:val="24"/>
        <w:snapToGrid w:val="0"/>
        <w:spacing w:before="120" w:after="120" w:line="500" w:lineRule="exact"/>
        <w:ind w:firstLine="480" w:firstLineChars="200"/>
        <w:rPr>
          <w:rFonts w:hAnsi="宋体"/>
          <w:color w:val="000000" w:themeColor="text1"/>
          <w:sz w:val="24"/>
          <w:szCs w:val="24"/>
        </w:rPr>
      </w:pPr>
      <w:r>
        <w:rPr>
          <w:rFonts w:hAnsi="宋体"/>
          <w:color w:val="000000" w:themeColor="text1"/>
          <w:sz w:val="24"/>
          <w:szCs w:val="24"/>
        </w:rPr>
        <w:t>6.1</w:t>
      </w:r>
      <w:r>
        <w:rPr>
          <w:rFonts w:hint="eastAsia" w:hAnsi="宋体"/>
          <w:color w:val="000000" w:themeColor="text1"/>
          <w:sz w:val="24"/>
          <w:szCs w:val="24"/>
        </w:rPr>
        <w:t>乙方交纳人民币（大写）</w:t>
      </w:r>
      <w:r>
        <w:rPr>
          <w:rFonts w:hint="eastAsia" w:hAnsi="宋体"/>
          <w:color w:val="000000" w:themeColor="text1"/>
          <w:sz w:val="24"/>
          <w:szCs w:val="24"/>
          <w:u w:val="single"/>
        </w:rPr>
        <w:t xml:space="preserve">            </w:t>
      </w:r>
      <w:r>
        <w:rPr>
          <w:rFonts w:hint="eastAsia" w:hAnsi="宋体"/>
          <w:color w:val="000000" w:themeColor="text1"/>
          <w:sz w:val="24"/>
          <w:szCs w:val="24"/>
        </w:rPr>
        <w:t>元整</w:t>
      </w:r>
      <w:r>
        <w:rPr>
          <w:rFonts w:hint="eastAsia" w:ascii="新宋体" w:hAnsi="新宋体" w:eastAsia="新宋体"/>
          <w:sz w:val="24"/>
        </w:rPr>
        <w:t>（￥</w:t>
      </w:r>
      <w:r>
        <w:rPr>
          <w:rFonts w:hint="eastAsia" w:ascii="新宋体" w:hAnsi="新宋体" w:eastAsia="新宋体"/>
          <w:sz w:val="24"/>
          <w:u w:val="single"/>
        </w:rPr>
        <w:t xml:space="preserve">       </w:t>
      </w:r>
      <w:r>
        <w:rPr>
          <w:rFonts w:hint="eastAsia" w:ascii="新宋体" w:hAnsi="新宋体" w:eastAsia="新宋体"/>
          <w:sz w:val="24"/>
        </w:rPr>
        <w:t>元）</w:t>
      </w:r>
      <w:r>
        <w:rPr>
          <w:rFonts w:hint="eastAsia" w:hAnsi="宋体"/>
          <w:color w:val="000000" w:themeColor="text1"/>
          <w:sz w:val="24"/>
          <w:szCs w:val="24"/>
        </w:rPr>
        <w:t>作为本合同的履约保证金（合同金额的5</w:t>
      </w:r>
      <w:r>
        <w:rPr>
          <w:rFonts w:hAnsi="宋体"/>
          <w:color w:val="000000" w:themeColor="text1"/>
          <w:sz w:val="24"/>
          <w:szCs w:val="24"/>
        </w:rPr>
        <w:t>%</w:t>
      </w:r>
      <w:r>
        <w:rPr>
          <w:rFonts w:hint="eastAsia" w:hAnsi="宋体"/>
          <w:color w:val="000000" w:themeColor="text1"/>
          <w:sz w:val="24"/>
          <w:szCs w:val="24"/>
        </w:rPr>
        <w:t>）。</w:t>
      </w:r>
    </w:p>
    <w:p>
      <w:pPr>
        <w:snapToGrid w:val="0"/>
        <w:spacing w:beforeLines="50" w:afterLines="50" w:line="500" w:lineRule="exact"/>
        <w:rPr>
          <w:rFonts w:ascii="宋体"/>
          <w:b/>
          <w:color w:val="000000" w:themeColor="text1"/>
          <w:sz w:val="24"/>
          <w:szCs w:val="24"/>
        </w:rPr>
      </w:pPr>
      <w:r>
        <w:rPr>
          <w:rFonts w:hint="eastAsia" w:ascii="宋体" w:hAnsi="宋体"/>
          <w:b/>
          <w:color w:val="000000" w:themeColor="text1"/>
          <w:sz w:val="24"/>
          <w:szCs w:val="24"/>
        </w:rPr>
        <w:t>七、转包或分包</w:t>
      </w:r>
    </w:p>
    <w:p>
      <w:pPr>
        <w:snapToGrid w:val="0"/>
        <w:spacing w:beforeLines="50" w:afterLines="50" w:line="500" w:lineRule="exact"/>
        <w:ind w:firstLine="480" w:firstLineChars="200"/>
        <w:rPr>
          <w:rFonts w:ascii="宋体"/>
          <w:color w:val="000000" w:themeColor="text1"/>
          <w:sz w:val="24"/>
          <w:szCs w:val="24"/>
        </w:rPr>
      </w:pPr>
      <w:r>
        <w:rPr>
          <w:rFonts w:ascii="宋体" w:hAnsi="宋体"/>
          <w:color w:val="000000" w:themeColor="text1"/>
          <w:sz w:val="24"/>
          <w:szCs w:val="24"/>
        </w:rPr>
        <w:t>7.1</w:t>
      </w:r>
      <w:r>
        <w:rPr>
          <w:rFonts w:hint="eastAsia" w:ascii="宋体" w:hAnsi="宋体"/>
          <w:color w:val="000000" w:themeColor="text1"/>
          <w:sz w:val="24"/>
          <w:szCs w:val="24"/>
        </w:rPr>
        <w:t>本合同范围的货物，应由乙方直接供应，不得转让他人供应；</w:t>
      </w:r>
    </w:p>
    <w:p>
      <w:pPr>
        <w:snapToGrid w:val="0"/>
        <w:spacing w:beforeLines="50" w:afterLines="50" w:line="500" w:lineRule="exact"/>
        <w:ind w:firstLine="480" w:firstLineChars="200"/>
        <w:rPr>
          <w:rFonts w:ascii="宋体"/>
          <w:color w:val="000000" w:themeColor="text1"/>
          <w:sz w:val="24"/>
          <w:szCs w:val="24"/>
        </w:rPr>
      </w:pPr>
      <w:r>
        <w:rPr>
          <w:rFonts w:ascii="宋体" w:hAnsi="宋体"/>
          <w:color w:val="000000" w:themeColor="text1"/>
          <w:sz w:val="24"/>
          <w:szCs w:val="24"/>
        </w:rPr>
        <w:t xml:space="preserve">7.2 </w:t>
      </w:r>
      <w:r>
        <w:rPr>
          <w:rFonts w:hint="eastAsia" w:ascii="宋体" w:hAnsi="宋体"/>
          <w:color w:val="000000" w:themeColor="text1"/>
          <w:sz w:val="24"/>
          <w:szCs w:val="24"/>
        </w:rPr>
        <w:t>除非得到甲方的书面同意，乙方不得部分分包给他人供应。</w:t>
      </w:r>
    </w:p>
    <w:p>
      <w:pPr>
        <w:snapToGrid w:val="0"/>
        <w:spacing w:beforeLines="50" w:afterLines="50" w:line="500" w:lineRule="exact"/>
        <w:ind w:firstLine="480" w:firstLineChars="200"/>
        <w:rPr>
          <w:rFonts w:ascii="宋体"/>
          <w:color w:val="000000" w:themeColor="text1"/>
          <w:sz w:val="24"/>
          <w:szCs w:val="24"/>
        </w:rPr>
      </w:pPr>
      <w:r>
        <w:rPr>
          <w:rFonts w:ascii="宋体" w:hAnsi="宋体"/>
          <w:color w:val="000000" w:themeColor="text1"/>
          <w:sz w:val="24"/>
          <w:szCs w:val="24"/>
        </w:rPr>
        <w:t>7.3</w:t>
      </w:r>
      <w:r>
        <w:rPr>
          <w:rFonts w:hint="eastAsia" w:ascii="宋体" w:hAnsi="宋体"/>
          <w:color w:val="000000" w:themeColor="text1"/>
          <w:sz w:val="24"/>
          <w:szCs w:val="24"/>
        </w:rPr>
        <w:t>如有转让和未经甲方同意的分包行为，甲方有权给予终止合同。</w:t>
      </w:r>
    </w:p>
    <w:p>
      <w:pPr>
        <w:pStyle w:val="24"/>
        <w:snapToGrid w:val="0"/>
        <w:spacing w:before="120" w:after="120" w:line="500" w:lineRule="exact"/>
        <w:rPr>
          <w:rFonts w:hAnsi="宋体"/>
          <w:b/>
          <w:color w:val="000000" w:themeColor="text1"/>
          <w:sz w:val="24"/>
          <w:szCs w:val="24"/>
        </w:rPr>
      </w:pPr>
      <w:r>
        <w:rPr>
          <w:rFonts w:hint="eastAsia" w:hAnsi="宋体"/>
          <w:b/>
          <w:color w:val="000000" w:themeColor="text1"/>
          <w:sz w:val="24"/>
          <w:szCs w:val="24"/>
        </w:rPr>
        <w:t>八、交货期、交货方式及交货地点</w:t>
      </w:r>
    </w:p>
    <w:p>
      <w:pPr>
        <w:autoSpaceDE w:val="0"/>
        <w:autoSpaceDN w:val="0"/>
        <w:adjustRightInd w:val="0"/>
        <w:spacing w:line="440" w:lineRule="exact"/>
        <w:ind w:firstLine="480" w:firstLineChars="200"/>
        <w:jc w:val="left"/>
        <w:rPr>
          <w:rFonts w:hAnsi="宋体"/>
          <w:bCs/>
          <w:color w:val="000000" w:themeColor="text1"/>
          <w:sz w:val="24"/>
          <w:szCs w:val="24"/>
        </w:rPr>
      </w:pPr>
      <w:r>
        <w:rPr>
          <w:rFonts w:hint="eastAsia" w:hAnsi="宋体"/>
          <w:bCs/>
          <w:color w:val="000000" w:themeColor="text1"/>
          <w:sz w:val="24"/>
          <w:szCs w:val="24"/>
        </w:rPr>
        <w:t>8</w:t>
      </w:r>
      <w:r>
        <w:rPr>
          <w:rFonts w:hAnsi="宋体"/>
          <w:bCs/>
          <w:color w:val="000000" w:themeColor="text1"/>
          <w:sz w:val="24"/>
          <w:szCs w:val="24"/>
        </w:rPr>
        <w:t xml:space="preserve">.1 </w:t>
      </w:r>
      <w:r>
        <w:rPr>
          <w:rFonts w:hint="eastAsia" w:hAnsi="宋体"/>
          <w:bCs/>
          <w:color w:val="000000" w:themeColor="text1"/>
          <w:sz w:val="24"/>
          <w:szCs w:val="24"/>
        </w:rPr>
        <w:t>交货期：自合同正式签署后且所需真实有效的资料到齐之日起</w:t>
      </w:r>
      <w:r>
        <w:rPr>
          <w:rFonts w:hint="eastAsia" w:hAnsi="宋体"/>
          <w:bCs/>
          <w:color w:val="C00000"/>
          <w:sz w:val="24"/>
          <w:szCs w:val="24"/>
        </w:rPr>
        <w:t>90</w:t>
      </w:r>
      <w:r>
        <w:rPr>
          <w:rFonts w:hint="eastAsia" w:hAnsi="宋体"/>
          <w:bCs/>
          <w:color w:val="000000" w:themeColor="text1"/>
          <w:sz w:val="24"/>
          <w:szCs w:val="24"/>
        </w:rPr>
        <w:t>天完成盐城区地下水污染防治规划方案项目送审稿。</w:t>
      </w:r>
    </w:p>
    <w:p>
      <w:pPr>
        <w:autoSpaceDE w:val="0"/>
        <w:autoSpaceDN w:val="0"/>
        <w:adjustRightInd w:val="0"/>
        <w:spacing w:line="440" w:lineRule="exact"/>
        <w:ind w:firstLine="480" w:firstLineChars="200"/>
        <w:jc w:val="left"/>
        <w:rPr>
          <w:rFonts w:hAnsi="宋体"/>
          <w:bCs/>
          <w:color w:val="000000" w:themeColor="text1"/>
          <w:sz w:val="24"/>
          <w:szCs w:val="24"/>
        </w:rPr>
      </w:pPr>
      <w:r>
        <w:rPr>
          <w:rFonts w:hint="eastAsia" w:hAnsi="宋体"/>
          <w:bCs/>
          <w:color w:val="000000" w:themeColor="text1"/>
          <w:sz w:val="24"/>
          <w:szCs w:val="24"/>
        </w:rPr>
        <w:t>8</w:t>
      </w:r>
      <w:r>
        <w:rPr>
          <w:rFonts w:hAnsi="宋体"/>
          <w:bCs/>
          <w:color w:val="000000" w:themeColor="text1"/>
          <w:sz w:val="24"/>
          <w:szCs w:val="24"/>
        </w:rPr>
        <w:t xml:space="preserve">.2 </w:t>
      </w:r>
      <w:r>
        <w:rPr>
          <w:rFonts w:hint="eastAsia" w:hAnsi="宋体"/>
          <w:bCs/>
          <w:color w:val="000000" w:themeColor="text1"/>
          <w:sz w:val="24"/>
          <w:szCs w:val="24"/>
        </w:rPr>
        <w:t>交货方式：</w:t>
      </w:r>
      <w:r>
        <w:rPr>
          <w:rFonts w:hint="eastAsia" w:hAnsi="宋体"/>
          <w:color w:val="000000" w:themeColor="text1"/>
          <w:sz w:val="24"/>
          <w:szCs w:val="24"/>
          <w:u w:val="single"/>
        </w:rPr>
        <w:t>按照甲方要求</w:t>
      </w:r>
    </w:p>
    <w:p>
      <w:pPr>
        <w:pStyle w:val="24"/>
        <w:snapToGrid w:val="0"/>
        <w:spacing w:before="120" w:after="120" w:line="500" w:lineRule="exact"/>
        <w:rPr>
          <w:rFonts w:hAnsi="宋体"/>
          <w:b/>
          <w:color w:val="000000" w:themeColor="text1"/>
          <w:sz w:val="24"/>
          <w:szCs w:val="24"/>
        </w:rPr>
      </w:pPr>
      <w:r>
        <w:rPr>
          <w:rFonts w:hint="eastAsia" w:hAnsi="宋体"/>
          <w:b/>
          <w:color w:val="000000" w:themeColor="text1"/>
          <w:sz w:val="24"/>
          <w:szCs w:val="24"/>
        </w:rPr>
        <w:t>九、货款支付</w:t>
      </w:r>
    </w:p>
    <w:p>
      <w:pPr>
        <w:spacing w:line="360" w:lineRule="auto"/>
        <w:ind w:firstLine="420"/>
        <w:rPr>
          <w:rFonts w:hAnsi="宋体"/>
          <w:bCs/>
          <w:color w:val="000000" w:themeColor="text1"/>
          <w:sz w:val="24"/>
          <w:szCs w:val="24"/>
        </w:rPr>
      </w:pPr>
      <w:r>
        <w:rPr>
          <w:rFonts w:hint="eastAsia" w:hAnsi="宋体"/>
          <w:bCs/>
          <w:color w:val="000000" w:themeColor="text1"/>
          <w:sz w:val="24"/>
          <w:szCs w:val="24"/>
        </w:rPr>
        <w:t>9</w:t>
      </w:r>
      <w:r>
        <w:rPr>
          <w:rFonts w:hAnsi="宋体"/>
          <w:bCs/>
          <w:color w:val="000000" w:themeColor="text1"/>
          <w:sz w:val="24"/>
          <w:szCs w:val="24"/>
        </w:rPr>
        <w:t xml:space="preserve">.1 </w:t>
      </w:r>
      <w:r>
        <w:rPr>
          <w:rFonts w:hint="eastAsia" w:hAnsi="宋体"/>
          <w:bCs/>
          <w:color w:val="000000" w:themeColor="text1"/>
          <w:sz w:val="24"/>
          <w:szCs w:val="24"/>
        </w:rPr>
        <w:t>付款方式：</w:t>
      </w:r>
      <w:r>
        <w:rPr>
          <w:rFonts w:hAnsi="宋体"/>
          <w:bCs/>
          <w:color w:val="000000" w:themeColor="text1"/>
          <w:sz w:val="24"/>
          <w:szCs w:val="24"/>
        </w:rPr>
        <w:t>提交最终成果文件并通过招标人审核后付至合同价的80%，并退还履约保证金，余款待通过上级主管部门最终评审后一次性付清。</w:t>
      </w:r>
    </w:p>
    <w:p>
      <w:pPr>
        <w:spacing w:line="360" w:lineRule="auto"/>
        <w:ind w:firstLine="420"/>
        <w:rPr>
          <w:rFonts w:hAnsi="宋体"/>
          <w:bCs/>
          <w:color w:val="000000" w:themeColor="text1"/>
          <w:sz w:val="24"/>
          <w:szCs w:val="24"/>
        </w:rPr>
      </w:pPr>
      <w:r>
        <w:rPr>
          <w:rFonts w:hint="eastAsia" w:hAnsi="宋体"/>
          <w:bCs/>
          <w:color w:val="000000" w:themeColor="text1"/>
          <w:sz w:val="24"/>
          <w:szCs w:val="24"/>
        </w:rPr>
        <w:t>9.</w:t>
      </w:r>
      <w:r>
        <w:rPr>
          <w:rFonts w:hAnsi="宋体"/>
          <w:bCs/>
          <w:color w:val="000000" w:themeColor="text1"/>
          <w:sz w:val="24"/>
          <w:szCs w:val="24"/>
        </w:rPr>
        <w:t>2、签订合同前乙方向甲方缴纳履约保证金</w:t>
      </w:r>
      <w:r>
        <w:rPr>
          <w:rFonts w:hint="eastAsia" w:hAnsi="宋体"/>
          <w:bCs/>
          <w:color w:val="000000" w:themeColor="text1"/>
          <w:sz w:val="24"/>
          <w:szCs w:val="24"/>
          <w:u w:val="single"/>
        </w:rPr>
        <w:t xml:space="preserve">       </w:t>
      </w:r>
      <w:r>
        <w:rPr>
          <w:rFonts w:hAnsi="宋体"/>
          <w:bCs/>
          <w:color w:val="000000" w:themeColor="text1"/>
          <w:sz w:val="24"/>
          <w:szCs w:val="24"/>
        </w:rPr>
        <w:t>元，履约保证金在合同履行完毕，甲方和乙方办理移交手续，甲方出具合同验收报告半个月后凭乙方的收款收据退还。</w:t>
      </w:r>
    </w:p>
    <w:p>
      <w:pPr>
        <w:spacing w:line="360" w:lineRule="auto"/>
        <w:ind w:firstLine="420"/>
        <w:rPr>
          <w:rFonts w:hAnsi="宋体"/>
          <w:bCs/>
          <w:color w:val="000000" w:themeColor="text1"/>
          <w:sz w:val="24"/>
          <w:szCs w:val="24"/>
        </w:rPr>
      </w:pPr>
      <w:r>
        <w:rPr>
          <w:rFonts w:hint="eastAsia" w:hAnsi="宋体"/>
          <w:bCs/>
          <w:color w:val="000000" w:themeColor="text1"/>
          <w:sz w:val="24"/>
          <w:szCs w:val="24"/>
        </w:rPr>
        <w:t>9.</w:t>
      </w:r>
      <w:r>
        <w:rPr>
          <w:rFonts w:hAnsi="宋体"/>
          <w:bCs/>
          <w:color w:val="000000" w:themeColor="text1"/>
          <w:sz w:val="24"/>
          <w:szCs w:val="24"/>
        </w:rPr>
        <w:t>3、如乙方对工作方案、评估报告、规范性成果文件等缺陷不予更正，甲方有权另请其他单位更正，所发生的费用在合同履约保证金中扣除，履约保证金不足支付的，在合同总价款中扣除。</w:t>
      </w:r>
    </w:p>
    <w:p>
      <w:pPr>
        <w:spacing w:line="360" w:lineRule="auto"/>
        <w:ind w:firstLine="420"/>
        <w:rPr>
          <w:rFonts w:hint="eastAsia" w:hAnsi="宋体"/>
          <w:bCs/>
          <w:color w:val="000000" w:themeColor="text1"/>
          <w:sz w:val="24"/>
          <w:szCs w:val="24"/>
        </w:rPr>
      </w:pPr>
      <w:r>
        <w:rPr>
          <w:rFonts w:hint="eastAsia" w:hAnsi="宋体"/>
          <w:bCs/>
          <w:color w:val="000000" w:themeColor="text1"/>
          <w:sz w:val="24"/>
          <w:szCs w:val="24"/>
        </w:rPr>
        <w:t>9.</w:t>
      </w:r>
      <w:r>
        <w:rPr>
          <w:rFonts w:hAnsi="宋体"/>
          <w:bCs/>
          <w:color w:val="000000" w:themeColor="text1"/>
          <w:sz w:val="24"/>
          <w:szCs w:val="24"/>
        </w:rPr>
        <w:t>4、甲方支付此项费用外不再承担其它任何费用。</w:t>
      </w:r>
    </w:p>
    <w:p>
      <w:pPr>
        <w:spacing w:line="360" w:lineRule="auto"/>
        <w:ind w:firstLine="420"/>
        <w:rPr>
          <w:rFonts w:hAnsi="宋体"/>
          <w:bCs/>
          <w:color w:val="000000" w:themeColor="text1"/>
          <w:sz w:val="24"/>
          <w:szCs w:val="24"/>
        </w:rPr>
      </w:pPr>
      <w:r>
        <w:rPr>
          <w:rFonts w:hint="eastAsia" w:hAnsi="宋体"/>
          <w:bCs/>
          <w:color w:val="000000" w:themeColor="text1"/>
          <w:sz w:val="24"/>
          <w:szCs w:val="24"/>
        </w:rPr>
        <w:t>9.</w:t>
      </w:r>
      <w:r>
        <w:rPr>
          <w:rFonts w:hAnsi="宋体"/>
          <w:bCs/>
          <w:color w:val="000000" w:themeColor="text1"/>
          <w:sz w:val="24"/>
          <w:szCs w:val="24"/>
        </w:rPr>
        <w:t>5、若遇国家或地方政府政策性调整，双方另行协商。</w:t>
      </w:r>
    </w:p>
    <w:p>
      <w:pPr>
        <w:spacing w:line="360" w:lineRule="auto"/>
        <w:ind w:firstLine="482" w:firstLineChars="200"/>
        <w:rPr>
          <w:rFonts w:ascii="宋体" w:hAnsi="宋体"/>
          <w:b/>
          <w:color w:val="000000" w:themeColor="text1"/>
          <w:sz w:val="24"/>
          <w:szCs w:val="24"/>
        </w:rPr>
      </w:pPr>
      <w:r>
        <w:rPr>
          <w:rFonts w:hint="eastAsia" w:ascii="宋体" w:hAnsi="宋体"/>
          <w:b/>
          <w:color w:val="000000" w:themeColor="text1"/>
          <w:sz w:val="24"/>
          <w:szCs w:val="24"/>
        </w:rPr>
        <w:t>十、税费</w:t>
      </w:r>
    </w:p>
    <w:p>
      <w:pPr>
        <w:spacing w:line="360" w:lineRule="auto"/>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本合同执行中相关的一切税费均由乙方负担。</w:t>
      </w:r>
    </w:p>
    <w:p>
      <w:pPr>
        <w:spacing w:line="360" w:lineRule="auto"/>
        <w:ind w:firstLine="482" w:firstLineChars="200"/>
        <w:rPr>
          <w:rFonts w:ascii="宋体" w:hAnsi="宋体"/>
          <w:color w:val="000000" w:themeColor="text1"/>
          <w:sz w:val="24"/>
          <w:szCs w:val="24"/>
        </w:rPr>
      </w:pPr>
      <w:r>
        <w:rPr>
          <w:rFonts w:hint="eastAsia" w:hAnsi="宋体"/>
          <w:b/>
          <w:color w:val="000000" w:themeColor="text1"/>
          <w:sz w:val="24"/>
          <w:szCs w:val="24"/>
        </w:rPr>
        <w:t>十一、验收方式</w:t>
      </w:r>
    </w:p>
    <w:p>
      <w:pPr>
        <w:spacing w:line="360" w:lineRule="auto"/>
        <w:ind w:firstLine="420"/>
        <w:rPr>
          <w:rFonts w:ascii="宋体" w:hAnsi="宋体"/>
          <w:color w:val="000000" w:themeColor="text1"/>
          <w:sz w:val="24"/>
          <w:szCs w:val="24"/>
        </w:rPr>
      </w:pPr>
      <w:r>
        <w:rPr>
          <w:rFonts w:ascii="宋体" w:hAnsi="宋体"/>
          <w:color w:val="000000" w:themeColor="text1"/>
          <w:sz w:val="24"/>
          <w:szCs w:val="24"/>
        </w:rPr>
        <w:t>技术服务工作成果的验收标准：达到国家和省、市的技术标准和甲方要求，验收事宜服从甲方安排。</w:t>
      </w:r>
    </w:p>
    <w:p>
      <w:pPr>
        <w:autoSpaceDE w:val="0"/>
        <w:autoSpaceDN w:val="0"/>
        <w:adjustRightInd w:val="0"/>
        <w:spacing w:line="440" w:lineRule="exact"/>
        <w:jc w:val="left"/>
        <w:rPr>
          <w:rFonts w:hAnsi="宋体"/>
          <w:b/>
          <w:color w:val="000000" w:themeColor="text1"/>
          <w:sz w:val="24"/>
          <w:szCs w:val="24"/>
        </w:rPr>
      </w:pPr>
      <w:r>
        <w:rPr>
          <w:rFonts w:hint="eastAsia" w:hAnsi="宋体"/>
          <w:b/>
          <w:color w:val="000000" w:themeColor="text1"/>
          <w:sz w:val="24"/>
          <w:szCs w:val="24"/>
        </w:rPr>
        <w:t>十二、违约责任</w:t>
      </w:r>
    </w:p>
    <w:p>
      <w:pPr>
        <w:autoSpaceDE w:val="0"/>
        <w:autoSpaceDN w:val="0"/>
        <w:adjustRightInd w:val="0"/>
        <w:spacing w:line="440" w:lineRule="exact"/>
        <w:ind w:firstLine="480" w:firstLineChars="200"/>
        <w:jc w:val="left"/>
        <w:rPr>
          <w:rFonts w:hAnsi="宋体"/>
          <w:color w:val="000000" w:themeColor="text1"/>
          <w:sz w:val="24"/>
          <w:szCs w:val="24"/>
        </w:rPr>
      </w:pPr>
      <w:r>
        <w:rPr>
          <w:rFonts w:hAnsi="宋体"/>
          <w:color w:val="000000" w:themeColor="text1"/>
          <w:sz w:val="24"/>
          <w:szCs w:val="24"/>
        </w:rPr>
        <w:t>1</w:t>
      </w:r>
      <w:r>
        <w:rPr>
          <w:rFonts w:hint="eastAsia" w:hAnsi="宋体"/>
          <w:color w:val="000000" w:themeColor="text1"/>
          <w:sz w:val="24"/>
          <w:szCs w:val="24"/>
        </w:rPr>
        <w:t>2</w:t>
      </w:r>
      <w:r>
        <w:rPr>
          <w:rFonts w:hAnsi="宋体"/>
          <w:color w:val="000000" w:themeColor="text1"/>
          <w:sz w:val="24"/>
          <w:szCs w:val="24"/>
        </w:rPr>
        <w:t xml:space="preserve">.1 </w:t>
      </w:r>
      <w:r>
        <w:rPr>
          <w:rFonts w:hint="eastAsia" w:hAnsi="宋体"/>
          <w:color w:val="000000" w:themeColor="text1"/>
          <w:sz w:val="24"/>
          <w:szCs w:val="24"/>
        </w:rPr>
        <w:t>甲方无正当理由拒收货物的，甲方向乙方偿付拒收货款总值的百分之五违约金。</w:t>
      </w:r>
    </w:p>
    <w:p>
      <w:pPr>
        <w:pStyle w:val="24"/>
        <w:snapToGrid w:val="0"/>
        <w:spacing w:before="120" w:after="120" w:line="500" w:lineRule="exact"/>
        <w:ind w:firstLine="480" w:firstLineChars="200"/>
        <w:rPr>
          <w:rFonts w:hAnsi="宋体"/>
          <w:color w:val="000000" w:themeColor="text1"/>
          <w:sz w:val="24"/>
          <w:szCs w:val="24"/>
        </w:rPr>
      </w:pPr>
      <w:r>
        <w:rPr>
          <w:rFonts w:hAnsi="宋体"/>
          <w:color w:val="000000" w:themeColor="text1"/>
          <w:sz w:val="24"/>
          <w:szCs w:val="24"/>
        </w:rPr>
        <w:t>1</w:t>
      </w:r>
      <w:r>
        <w:rPr>
          <w:rFonts w:hint="eastAsia" w:hAnsi="宋体"/>
          <w:color w:val="000000" w:themeColor="text1"/>
          <w:sz w:val="24"/>
          <w:szCs w:val="24"/>
        </w:rPr>
        <w:t>2</w:t>
      </w:r>
      <w:r>
        <w:rPr>
          <w:rFonts w:hAnsi="宋体"/>
          <w:color w:val="000000" w:themeColor="text1"/>
          <w:sz w:val="24"/>
          <w:szCs w:val="24"/>
        </w:rPr>
        <w:t xml:space="preserve">.2 </w:t>
      </w:r>
      <w:r>
        <w:rPr>
          <w:rFonts w:hint="eastAsia" w:hAnsi="宋体"/>
          <w:color w:val="000000" w:themeColor="text1"/>
          <w:sz w:val="24"/>
          <w:szCs w:val="24"/>
        </w:rPr>
        <w:t>甲方无故逾期验收和办理货款支付手续的</w:t>
      </w:r>
      <w:r>
        <w:rPr>
          <w:rFonts w:hAnsi="宋体"/>
          <w:color w:val="000000" w:themeColor="text1"/>
          <w:sz w:val="24"/>
          <w:szCs w:val="24"/>
        </w:rPr>
        <w:t>,</w:t>
      </w:r>
      <w:r>
        <w:rPr>
          <w:rFonts w:hint="eastAsia" w:hAnsi="宋体"/>
          <w:color w:val="000000" w:themeColor="text1"/>
          <w:sz w:val="24"/>
          <w:szCs w:val="24"/>
        </w:rPr>
        <w:t>甲方应按逾期付款总额每日万分之五向乙方支付违约金。</w:t>
      </w:r>
    </w:p>
    <w:p>
      <w:pPr>
        <w:pStyle w:val="24"/>
        <w:snapToGrid w:val="0"/>
        <w:spacing w:before="120" w:after="120" w:line="500" w:lineRule="exact"/>
        <w:ind w:firstLine="480" w:firstLineChars="200"/>
        <w:rPr>
          <w:rFonts w:hAnsi="宋体"/>
          <w:color w:val="000000" w:themeColor="text1"/>
          <w:sz w:val="24"/>
          <w:szCs w:val="24"/>
        </w:rPr>
      </w:pPr>
      <w:r>
        <w:rPr>
          <w:rFonts w:hAnsi="宋体"/>
          <w:color w:val="000000" w:themeColor="text1"/>
          <w:sz w:val="24"/>
          <w:szCs w:val="24"/>
        </w:rPr>
        <w:t>1</w:t>
      </w:r>
      <w:r>
        <w:rPr>
          <w:rFonts w:hint="eastAsia" w:hAnsi="宋体"/>
          <w:color w:val="000000" w:themeColor="text1"/>
          <w:sz w:val="24"/>
          <w:szCs w:val="24"/>
        </w:rPr>
        <w:t>2</w:t>
      </w:r>
      <w:r>
        <w:rPr>
          <w:rFonts w:hAnsi="宋体"/>
          <w:color w:val="000000" w:themeColor="text1"/>
          <w:sz w:val="24"/>
          <w:szCs w:val="24"/>
        </w:rPr>
        <w:t xml:space="preserve">.3 </w:t>
      </w:r>
      <w:r>
        <w:rPr>
          <w:rFonts w:hint="eastAsia" w:hAnsi="宋体"/>
          <w:color w:val="000000" w:themeColor="text1"/>
          <w:sz w:val="24"/>
          <w:szCs w:val="24"/>
        </w:rPr>
        <w:t>乙方逾期交付货物的，乙方应按逾期交货总额每日千分之六向甲方支付违约金，由甲方从待付货款中扣除。逾期超过约定日期</w:t>
      </w:r>
      <w:r>
        <w:rPr>
          <w:rFonts w:hAnsi="宋体"/>
          <w:color w:val="000000" w:themeColor="text1"/>
          <w:sz w:val="24"/>
          <w:szCs w:val="24"/>
        </w:rPr>
        <w:t>10</w:t>
      </w:r>
      <w:r>
        <w:rPr>
          <w:rFonts w:hint="eastAsia" w:hAnsi="宋体"/>
          <w:color w:val="000000" w:themeColor="text1"/>
          <w:sz w:val="24"/>
          <w:szCs w:val="24"/>
        </w:rPr>
        <w:t>个工作日不能交货的，甲方可解除本合同。乙方因逾期交货或因其他违约行为导致甲方解除合同的，乙方应向甲方支付合同总值</w:t>
      </w:r>
      <w:r>
        <w:rPr>
          <w:rFonts w:hAnsi="宋体"/>
          <w:color w:val="000000" w:themeColor="text1"/>
          <w:sz w:val="24"/>
          <w:szCs w:val="24"/>
        </w:rPr>
        <w:t>5%</w:t>
      </w:r>
      <w:r>
        <w:rPr>
          <w:rFonts w:hint="eastAsia" w:hAnsi="宋体"/>
          <w:color w:val="000000" w:themeColor="text1"/>
          <w:sz w:val="24"/>
          <w:szCs w:val="24"/>
        </w:rPr>
        <w:t>的违约金，如造成甲方损失超过违约金的，超出部分由乙方继续承担赔偿责任。</w:t>
      </w:r>
    </w:p>
    <w:p>
      <w:pPr>
        <w:pStyle w:val="24"/>
        <w:snapToGrid w:val="0"/>
        <w:spacing w:before="120" w:after="120" w:line="500" w:lineRule="exact"/>
        <w:ind w:firstLine="480" w:firstLineChars="200"/>
        <w:rPr>
          <w:rFonts w:hAnsi="宋体"/>
          <w:color w:val="000000" w:themeColor="text1"/>
          <w:sz w:val="24"/>
          <w:szCs w:val="24"/>
        </w:rPr>
      </w:pPr>
      <w:r>
        <w:rPr>
          <w:rFonts w:hAnsi="宋体"/>
          <w:color w:val="000000" w:themeColor="text1"/>
          <w:sz w:val="24"/>
          <w:szCs w:val="24"/>
        </w:rPr>
        <w:t>1</w:t>
      </w:r>
      <w:r>
        <w:rPr>
          <w:rFonts w:hint="eastAsia" w:hAnsi="宋体"/>
          <w:color w:val="000000" w:themeColor="text1"/>
          <w:sz w:val="24"/>
          <w:szCs w:val="24"/>
        </w:rPr>
        <w:t>2</w:t>
      </w:r>
      <w:r>
        <w:rPr>
          <w:rFonts w:hAnsi="宋体"/>
          <w:color w:val="000000" w:themeColor="text1"/>
          <w:sz w:val="24"/>
          <w:szCs w:val="24"/>
        </w:rPr>
        <w:t xml:space="preserve">.4 </w:t>
      </w:r>
      <w:r>
        <w:rPr>
          <w:rFonts w:hint="eastAsia" w:hAnsi="宋体"/>
          <w:color w:val="000000" w:themeColor="text1"/>
          <w:sz w:val="24"/>
          <w:szCs w:val="24"/>
        </w:rPr>
        <w:t>乙方所交的货物品种、型号、规格、技术参数、质量不符合合同规定及招标文件规定标准的，甲方有权拒收该货物，乙方愿意更换货物但逾期交货的，按乙方逾期交货处理。乙方拒绝更换货物的，甲方可单方面解除合同。</w:t>
      </w:r>
    </w:p>
    <w:p>
      <w:pPr>
        <w:pStyle w:val="24"/>
        <w:snapToGrid w:val="0"/>
        <w:spacing w:before="120" w:after="120" w:line="500" w:lineRule="exact"/>
        <w:rPr>
          <w:rFonts w:hAnsi="宋体"/>
          <w:b/>
          <w:color w:val="000000" w:themeColor="text1"/>
          <w:sz w:val="24"/>
          <w:szCs w:val="24"/>
        </w:rPr>
      </w:pPr>
      <w:r>
        <w:rPr>
          <w:rFonts w:hint="eastAsia" w:hAnsi="宋体"/>
          <w:b/>
          <w:color w:val="000000" w:themeColor="text1"/>
          <w:sz w:val="24"/>
          <w:szCs w:val="24"/>
        </w:rPr>
        <w:t>十三、不可抗力事件处理</w:t>
      </w:r>
    </w:p>
    <w:p>
      <w:pPr>
        <w:pStyle w:val="24"/>
        <w:snapToGrid w:val="0"/>
        <w:spacing w:before="120" w:after="120" w:line="500" w:lineRule="exact"/>
        <w:ind w:firstLine="480" w:firstLineChars="200"/>
        <w:rPr>
          <w:rFonts w:hAnsi="宋体"/>
          <w:color w:val="000000" w:themeColor="text1"/>
          <w:sz w:val="24"/>
          <w:szCs w:val="24"/>
        </w:rPr>
      </w:pPr>
      <w:r>
        <w:rPr>
          <w:rFonts w:hAnsi="宋体"/>
          <w:color w:val="000000" w:themeColor="text1"/>
          <w:sz w:val="24"/>
          <w:szCs w:val="24"/>
        </w:rPr>
        <w:t>1</w:t>
      </w:r>
      <w:r>
        <w:rPr>
          <w:rFonts w:hint="eastAsia" w:hAnsi="宋体"/>
          <w:color w:val="000000" w:themeColor="text1"/>
          <w:sz w:val="24"/>
          <w:szCs w:val="24"/>
        </w:rPr>
        <w:t>3</w:t>
      </w:r>
      <w:r>
        <w:rPr>
          <w:rFonts w:hAnsi="宋体"/>
          <w:color w:val="000000" w:themeColor="text1"/>
          <w:sz w:val="24"/>
          <w:szCs w:val="24"/>
        </w:rPr>
        <w:t xml:space="preserve">.1 </w:t>
      </w:r>
      <w:r>
        <w:rPr>
          <w:rFonts w:hint="eastAsia" w:hAnsi="宋体"/>
          <w:color w:val="000000" w:themeColor="text1"/>
          <w:sz w:val="24"/>
          <w:szCs w:val="24"/>
        </w:rPr>
        <w:t>在合同有效期内，任何一方因不可抗力事件导致不能履行合同，则合同履行期可延长，其延长期与不可抗力影响期相同。</w:t>
      </w:r>
    </w:p>
    <w:p>
      <w:pPr>
        <w:pStyle w:val="24"/>
        <w:snapToGrid w:val="0"/>
        <w:spacing w:before="120" w:after="120" w:line="500" w:lineRule="exact"/>
        <w:ind w:firstLine="480" w:firstLineChars="200"/>
        <w:rPr>
          <w:rFonts w:hAnsi="宋体"/>
          <w:color w:val="000000" w:themeColor="text1"/>
          <w:sz w:val="24"/>
          <w:szCs w:val="24"/>
        </w:rPr>
      </w:pPr>
      <w:r>
        <w:rPr>
          <w:rFonts w:hAnsi="宋体"/>
          <w:color w:val="000000" w:themeColor="text1"/>
          <w:sz w:val="24"/>
          <w:szCs w:val="24"/>
        </w:rPr>
        <w:t>1</w:t>
      </w:r>
      <w:r>
        <w:rPr>
          <w:rFonts w:hint="eastAsia" w:hAnsi="宋体"/>
          <w:color w:val="000000" w:themeColor="text1"/>
          <w:sz w:val="24"/>
          <w:szCs w:val="24"/>
        </w:rPr>
        <w:t>3</w:t>
      </w:r>
      <w:r>
        <w:rPr>
          <w:rFonts w:hAnsi="宋体"/>
          <w:color w:val="000000" w:themeColor="text1"/>
          <w:sz w:val="24"/>
          <w:szCs w:val="24"/>
        </w:rPr>
        <w:t xml:space="preserve">.2 </w:t>
      </w:r>
      <w:r>
        <w:rPr>
          <w:rFonts w:hint="eastAsia" w:hAnsi="宋体"/>
          <w:color w:val="000000" w:themeColor="text1"/>
          <w:sz w:val="24"/>
          <w:szCs w:val="24"/>
        </w:rPr>
        <w:t>不可抗力事件发生后，应立即通知对方，并寄送有关权威机构出具的证明。</w:t>
      </w:r>
    </w:p>
    <w:p>
      <w:pPr>
        <w:pStyle w:val="24"/>
        <w:snapToGrid w:val="0"/>
        <w:spacing w:before="120" w:after="120" w:line="500" w:lineRule="exact"/>
        <w:ind w:firstLine="480" w:firstLineChars="200"/>
        <w:rPr>
          <w:rFonts w:hAnsi="宋体"/>
          <w:color w:val="000000" w:themeColor="text1"/>
          <w:sz w:val="24"/>
          <w:szCs w:val="24"/>
        </w:rPr>
      </w:pPr>
      <w:r>
        <w:rPr>
          <w:rFonts w:hAnsi="宋体"/>
          <w:color w:val="000000" w:themeColor="text1"/>
          <w:sz w:val="24"/>
          <w:szCs w:val="24"/>
        </w:rPr>
        <w:t>1</w:t>
      </w:r>
      <w:r>
        <w:rPr>
          <w:rFonts w:hint="eastAsia" w:hAnsi="宋体"/>
          <w:color w:val="000000" w:themeColor="text1"/>
          <w:sz w:val="24"/>
          <w:szCs w:val="24"/>
        </w:rPr>
        <w:t>3</w:t>
      </w:r>
      <w:r>
        <w:rPr>
          <w:rFonts w:hAnsi="宋体"/>
          <w:color w:val="000000" w:themeColor="text1"/>
          <w:sz w:val="24"/>
          <w:szCs w:val="24"/>
        </w:rPr>
        <w:t xml:space="preserve">.3 </w:t>
      </w:r>
      <w:r>
        <w:rPr>
          <w:rFonts w:hint="eastAsia" w:hAnsi="宋体"/>
          <w:color w:val="000000" w:themeColor="text1"/>
          <w:sz w:val="24"/>
          <w:szCs w:val="24"/>
        </w:rPr>
        <w:t>不可抗力事件延续</w:t>
      </w:r>
      <w:r>
        <w:rPr>
          <w:rFonts w:hAnsi="宋体"/>
          <w:color w:val="000000" w:themeColor="text1"/>
          <w:sz w:val="24"/>
          <w:szCs w:val="24"/>
        </w:rPr>
        <w:t>120</w:t>
      </w:r>
      <w:r>
        <w:rPr>
          <w:rFonts w:hint="eastAsia" w:hAnsi="宋体"/>
          <w:color w:val="000000" w:themeColor="text1"/>
          <w:sz w:val="24"/>
          <w:szCs w:val="24"/>
        </w:rPr>
        <w:t>天以上，双方应通过友好协商，确定是否继续履行合同。</w:t>
      </w:r>
    </w:p>
    <w:p>
      <w:pPr>
        <w:pStyle w:val="24"/>
        <w:snapToGrid w:val="0"/>
        <w:spacing w:before="120" w:after="120" w:line="500" w:lineRule="exact"/>
        <w:rPr>
          <w:rFonts w:hAnsi="宋体"/>
          <w:b/>
          <w:color w:val="000000" w:themeColor="text1"/>
          <w:sz w:val="24"/>
          <w:szCs w:val="24"/>
        </w:rPr>
      </w:pPr>
      <w:r>
        <w:rPr>
          <w:rFonts w:hint="eastAsia" w:hAnsi="宋体"/>
          <w:b/>
          <w:color w:val="000000" w:themeColor="text1"/>
          <w:sz w:val="24"/>
          <w:szCs w:val="24"/>
        </w:rPr>
        <w:t>十四、诉讼</w:t>
      </w:r>
    </w:p>
    <w:p>
      <w:pPr>
        <w:pStyle w:val="24"/>
        <w:snapToGrid w:val="0"/>
        <w:spacing w:before="120" w:after="120" w:line="500" w:lineRule="exact"/>
        <w:ind w:firstLine="480" w:firstLineChars="200"/>
        <w:rPr>
          <w:rFonts w:hAnsi="宋体"/>
          <w:color w:val="000000" w:themeColor="text1"/>
          <w:sz w:val="24"/>
          <w:szCs w:val="24"/>
        </w:rPr>
      </w:pPr>
      <w:r>
        <w:rPr>
          <w:rFonts w:hint="eastAsia" w:hAnsi="宋体"/>
          <w:color w:val="000000" w:themeColor="text1"/>
          <w:sz w:val="24"/>
          <w:szCs w:val="24"/>
        </w:rPr>
        <w:t>双方在执行合同中所发生的一切争议，应通过协商解决。如协商不成，可向合同签订地法院起诉，合同签订地在此约定为盐城市。</w:t>
      </w:r>
    </w:p>
    <w:p>
      <w:pPr>
        <w:pStyle w:val="24"/>
        <w:snapToGrid w:val="0"/>
        <w:spacing w:before="120" w:after="120" w:line="500" w:lineRule="exact"/>
        <w:rPr>
          <w:rFonts w:hAnsi="宋体"/>
          <w:b/>
          <w:color w:val="000000" w:themeColor="text1"/>
          <w:sz w:val="24"/>
          <w:szCs w:val="24"/>
        </w:rPr>
      </w:pPr>
      <w:r>
        <w:rPr>
          <w:rFonts w:hint="eastAsia" w:hAnsi="宋体"/>
          <w:b/>
          <w:color w:val="000000" w:themeColor="text1"/>
          <w:sz w:val="24"/>
          <w:szCs w:val="24"/>
        </w:rPr>
        <w:t>十五、合同生效及其它</w:t>
      </w:r>
    </w:p>
    <w:p>
      <w:pPr>
        <w:pStyle w:val="24"/>
        <w:snapToGrid w:val="0"/>
        <w:spacing w:before="120" w:after="120" w:line="500" w:lineRule="exact"/>
        <w:ind w:firstLine="480" w:firstLineChars="200"/>
        <w:rPr>
          <w:rFonts w:hAnsi="宋体"/>
          <w:color w:val="000000" w:themeColor="text1"/>
          <w:sz w:val="24"/>
          <w:szCs w:val="24"/>
        </w:rPr>
      </w:pPr>
      <w:r>
        <w:rPr>
          <w:rFonts w:hAnsi="宋体"/>
          <w:color w:val="000000" w:themeColor="text1"/>
          <w:sz w:val="24"/>
          <w:szCs w:val="24"/>
        </w:rPr>
        <w:t>1</w:t>
      </w:r>
      <w:r>
        <w:rPr>
          <w:rFonts w:hint="eastAsia" w:hAnsi="宋体"/>
          <w:color w:val="000000" w:themeColor="text1"/>
          <w:sz w:val="24"/>
          <w:szCs w:val="24"/>
        </w:rPr>
        <w:t>5</w:t>
      </w:r>
      <w:r>
        <w:rPr>
          <w:rFonts w:hAnsi="宋体"/>
          <w:color w:val="000000" w:themeColor="text1"/>
          <w:sz w:val="24"/>
          <w:szCs w:val="24"/>
        </w:rPr>
        <w:t xml:space="preserve">.1 </w:t>
      </w:r>
      <w:r>
        <w:rPr>
          <w:rFonts w:hint="eastAsia" w:hAnsi="宋体"/>
          <w:color w:val="000000" w:themeColor="text1"/>
          <w:sz w:val="24"/>
          <w:szCs w:val="24"/>
        </w:rPr>
        <w:t>合同经双方法定代表人或授权委托代表人签字并加盖单位公章后生效。</w:t>
      </w:r>
    </w:p>
    <w:p>
      <w:pPr>
        <w:pStyle w:val="24"/>
        <w:snapToGrid w:val="0"/>
        <w:spacing w:before="120" w:after="120" w:line="500" w:lineRule="exact"/>
        <w:ind w:firstLine="480" w:firstLineChars="200"/>
        <w:rPr>
          <w:rFonts w:hAnsi="宋体"/>
          <w:color w:val="000000" w:themeColor="text1"/>
          <w:sz w:val="24"/>
          <w:szCs w:val="24"/>
        </w:rPr>
      </w:pPr>
      <w:r>
        <w:rPr>
          <w:rFonts w:hAnsi="宋体"/>
          <w:color w:val="000000" w:themeColor="text1"/>
          <w:sz w:val="24"/>
          <w:szCs w:val="24"/>
        </w:rPr>
        <w:t>1</w:t>
      </w:r>
      <w:r>
        <w:rPr>
          <w:rFonts w:hint="eastAsia" w:hAnsi="宋体"/>
          <w:color w:val="000000" w:themeColor="text1"/>
          <w:sz w:val="24"/>
          <w:szCs w:val="24"/>
        </w:rPr>
        <w:t>5</w:t>
      </w:r>
      <w:r>
        <w:rPr>
          <w:rFonts w:hAnsi="宋体"/>
          <w:color w:val="000000" w:themeColor="text1"/>
          <w:sz w:val="24"/>
          <w:szCs w:val="24"/>
        </w:rPr>
        <w:t>.2</w:t>
      </w:r>
      <w:r>
        <w:rPr>
          <w:rFonts w:hint="eastAsia" w:hAnsi="宋体"/>
          <w:color w:val="000000" w:themeColor="text1"/>
          <w:sz w:val="24"/>
          <w:szCs w:val="24"/>
        </w:rPr>
        <w:t>本合同未尽事宜，遵照《民法典》有关条文执行。</w:t>
      </w:r>
    </w:p>
    <w:p>
      <w:pPr>
        <w:pStyle w:val="24"/>
        <w:snapToGrid w:val="0"/>
        <w:spacing w:before="120" w:after="120" w:line="500" w:lineRule="exact"/>
        <w:ind w:firstLine="482" w:firstLineChars="200"/>
        <w:rPr>
          <w:rFonts w:hAnsi="宋体"/>
          <w:b/>
          <w:color w:val="000000" w:themeColor="text1"/>
          <w:sz w:val="24"/>
          <w:szCs w:val="24"/>
        </w:rPr>
      </w:pPr>
      <w:r>
        <w:rPr>
          <w:rFonts w:hAnsi="宋体"/>
          <w:b/>
          <w:color w:val="000000" w:themeColor="text1"/>
          <w:sz w:val="24"/>
          <w:szCs w:val="24"/>
        </w:rPr>
        <w:t>1</w:t>
      </w:r>
      <w:r>
        <w:rPr>
          <w:rFonts w:hint="eastAsia" w:hAnsi="宋体"/>
          <w:b/>
          <w:color w:val="000000" w:themeColor="text1"/>
          <w:sz w:val="24"/>
          <w:szCs w:val="24"/>
        </w:rPr>
        <w:t>5</w:t>
      </w:r>
      <w:r>
        <w:rPr>
          <w:rFonts w:hAnsi="宋体"/>
          <w:b/>
          <w:color w:val="000000" w:themeColor="text1"/>
          <w:sz w:val="24"/>
          <w:szCs w:val="24"/>
        </w:rPr>
        <w:t xml:space="preserve">.3 </w:t>
      </w:r>
      <w:r>
        <w:rPr>
          <w:rFonts w:hint="eastAsia" w:hAnsi="宋体"/>
          <w:b/>
          <w:color w:val="000000" w:themeColor="text1"/>
          <w:sz w:val="24"/>
          <w:szCs w:val="24"/>
        </w:rPr>
        <w:t>本合同正本一式三份，具有同等法律效力，甲方、乙方及财政监管部门各执一份。</w:t>
      </w:r>
    </w:p>
    <w:p>
      <w:pPr>
        <w:pStyle w:val="24"/>
        <w:snapToGrid w:val="0"/>
        <w:spacing w:before="120" w:after="120" w:line="500" w:lineRule="exact"/>
        <w:ind w:left="480" w:hanging="480"/>
        <w:rPr>
          <w:rFonts w:hAnsi="宋体"/>
          <w:color w:val="000000" w:themeColor="text1"/>
          <w:sz w:val="24"/>
          <w:szCs w:val="24"/>
        </w:rPr>
      </w:pPr>
    </w:p>
    <w:p>
      <w:pPr>
        <w:pStyle w:val="24"/>
        <w:snapToGrid w:val="0"/>
        <w:spacing w:before="120" w:after="120" w:line="500" w:lineRule="exact"/>
        <w:ind w:firstLine="240" w:firstLineChars="100"/>
        <w:rPr>
          <w:rFonts w:hAnsi="宋体"/>
          <w:color w:val="000000" w:themeColor="text1"/>
          <w:sz w:val="24"/>
          <w:szCs w:val="24"/>
        </w:rPr>
      </w:pPr>
      <w:r>
        <w:rPr>
          <w:rFonts w:hint="eastAsia" w:hAnsi="宋体"/>
          <w:color w:val="000000" w:themeColor="text1"/>
          <w:sz w:val="24"/>
          <w:szCs w:val="24"/>
        </w:rPr>
        <w:t>甲方：                                  乙方：</w:t>
      </w:r>
    </w:p>
    <w:p>
      <w:pPr>
        <w:pStyle w:val="24"/>
        <w:snapToGrid w:val="0"/>
        <w:spacing w:before="120" w:after="120" w:line="500" w:lineRule="exact"/>
        <w:ind w:firstLine="240" w:firstLineChars="100"/>
        <w:rPr>
          <w:rFonts w:hAnsi="宋体"/>
          <w:color w:val="000000" w:themeColor="text1"/>
          <w:sz w:val="24"/>
          <w:szCs w:val="24"/>
        </w:rPr>
      </w:pPr>
      <w:r>
        <w:rPr>
          <w:rFonts w:hint="eastAsia" w:hAnsi="宋体"/>
          <w:color w:val="000000" w:themeColor="text1"/>
          <w:sz w:val="24"/>
          <w:szCs w:val="24"/>
        </w:rPr>
        <w:t>地址：                                  地址：</w:t>
      </w:r>
    </w:p>
    <w:p>
      <w:pPr>
        <w:pStyle w:val="24"/>
        <w:snapToGrid w:val="0"/>
        <w:spacing w:before="120" w:after="120" w:line="500" w:lineRule="exact"/>
        <w:ind w:firstLine="240" w:firstLineChars="100"/>
        <w:rPr>
          <w:rFonts w:hAnsi="宋体"/>
          <w:color w:val="000000" w:themeColor="text1"/>
          <w:sz w:val="24"/>
          <w:szCs w:val="24"/>
        </w:rPr>
      </w:pPr>
      <w:r>
        <w:rPr>
          <w:rFonts w:hint="eastAsia" w:hAnsi="宋体"/>
          <w:color w:val="000000" w:themeColor="text1"/>
          <w:sz w:val="24"/>
          <w:szCs w:val="24"/>
        </w:rPr>
        <w:t>法定代表人或授权代表：                  法定代表人或授权代表：</w:t>
      </w:r>
    </w:p>
    <w:p>
      <w:pPr>
        <w:pStyle w:val="24"/>
        <w:snapToGrid w:val="0"/>
        <w:spacing w:before="120" w:after="120" w:line="500" w:lineRule="exact"/>
        <w:ind w:firstLine="240" w:firstLineChars="100"/>
        <w:rPr>
          <w:rFonts w:hint="eastAsia" w:hAnsi="宋体" w:eastAsia="宋体"/>
          <w:color w:val="000000" w:themeColor="text1"/>
          <w:sz w:val="24"/>
          <w:szCs w:val="24"/>
          <w:lang w:eastAsia="zh-CN"/>
        </w:rPr>
      </w:pPr>
      <w:r>
        <w:rPr>
          <w:rFonts w:hint="eastAsia" w:hAnsi="宋体"/>
          <w:color w:val="000000" w:themeColor="text1"/>
          <w:sz w:val="24"/>
          <w:szCs w:val="24"/>
        </w:rPr>
        <w:t>联系电话：                              联系电话：</w:t>
      </w:r>
    </w:p>
    <w:p>
      <w:pPr>
        <w:pStyle w:val="24"/>
        <w:snapToGrid w:val="0"/>
        <w:spacing w:before="120" w:after="120" w:line="500" w:lineRule="exact"/>
        <w:ind w:firstLine="240" w:firstLineChars="100"/>
        <w:rPr>
          <w:rFonts w:hint="eastAsia" w:hAnsi="宋体" w:eastAsia="宋体"/>
          <w:color w:val="000000" w:themeColor="text1"/>
          <w:sz w:val="24"/>
          <w:szCs w:val="24"/>
          <w:lang w:eastAsia="zh-CN"/>
        </w:rPr>
      </w:pPr>
    </w:p>
    <w:p>
      <w:pPr>
        <w:pStyle w:val="24"/>
        <w:snapToGrid w:val="0"/>
        <w:spacing w:before="120" w:after="120" w:line="500" w:lineRule="exact"/>
        <w:ind w:firstLine="240" w:firstLineChars="100"/>
        <w:jc w:val="right"/>
        <w:rPr>
          <w:rFonts w:hAnsi="宋体"/>
          <w:bCs/>
          <w:sz w:val="24"/>
          <w:szCs w:val="24"/>
        </w:rPr>
      </w:pPr>
      <w:r>
        <w:rPr>
          <w:rFonts w:hAnsi="宋体"/>
          <w:color w:val="000000"/>
          <w:sz w:val="24"/>
          <w:szCs w:val="24"/>
        </w:rPr>
        <w:t>签订日期：      年  月  日</w:t>
      </w:r>
    </w:p>
    <w:p>
      <w:pPr>
        <w:pStyle w:val="24"/>
        <w:snapToGrid w:val="0"/>
        <w:spacing w:before="120" w:after="120" w:line="500" w:lineRule="exact"/>
        <w:jc w:val="center"/>
        <w:rPr>
          <w:rFonts w:hAnsi="宋体"/>
          <w:b/>
          <w:sz w:val="36"/>
          <w:szCs w:val="36"/>
        </w:rPr>
        <w:sectPr>
          <w:footerReference r:id="rId7" w:type="default"/>
          <w:pgSz w:w="11906" w:h="16838"/>
          <w:pgMar w:top="1440" w:right="1080" w:bottom="1440" w:left="1080" w:header="851" w:footer="992" w:gutter="0"/>
          <w:pgNumType w:fmt="decimal" w:start="1"/>
          <w:cols w:space="425" w:num="1"/>
          <w:docGrid w:type="lines" w:linePitch="312" w:charSpace="0"/>
        </w:sectPr>
      </w:pPr>
    </w:p>
    <w:bookmarkEnd w:id="149"/>
    <w:bookmarkEnd w:id="150"/>
    <w:bookmarkEnd w:id="151"/>
    <w:p>
      <w:pPr>
        <w:tabs>
          <w:tab w:val="left" w:pos="567"/>
        </w:tabs>
        <w:spacing w:line="440" w:lineRule="exact"/>
        <w:ind w:left="-567" w:leftChars="-270"/>
        <w:jc w:val="center"/>
        <w:rPr>
          <w:rFonts w:ascii="宋体" w:hAnsi="宋体" w:cs="宋体"/>
          <w:b/>
          <w:bCs/>
          <w:color w:val="C00000"/>
          <w:sz w:val="32"/>
          <w:szCs w:val="32"/>
        </w:rPr>
      </w:pPr>
      <w:bookmarkStart w:id="154" w:name="_Toc120614281"/>
      <w:bookmarkStart w:id="155" w:name="_Toc26554093"/>
      <w:bookmarkStart w:id="156" w:name="_Toc49090575"/>
      <w:r>
        <w:rPr>
          <w:rFonts w:hint="eastAsia" w:ascii="宋体" w:hAnsi="宋体" w:cs="宋体"/>
          <w:b/>
          <w:bCs/>
          <w:color w:val="auto"/>
          <w:sz w:val="32"/>
          <w:szCs w:val="32"/>
        </w:rPr>
        <w:t>采购需求</w:t>
      </w:r>
    </w:p>
    <w:p>
      <w:pPr>
        <w:spacing w:line="360" w:lineRule="auto"/>
        <w:rPr>
          <w:rFonts w:ascii="Times New Roman" w:hAnsi="Times New Roman" w:eastAsia="宋体"/>
          <w:sz w:val="24"/>
        </w:rPr>
      </w:pPr>
      <w:r>
        <w:rPr>
          <w:rFonts w:hint="eastAsia" w:ascii="Times New Roman" w:hAnsi="Times New Roman" w:eastAsia="宋体"/>
          <w:sz w:val="24"/>
        </w:rPr>
        <w:t>一、工作内容</w:t>
      </w:r>
    </w:p>
    <w:p>
      <w:pPr>
        <w:spacing w:line="360" w:lineRule="auto"/>
        <w:ind w:firstLine="480" w:firstLineChars="200"/>
        <w:rPr>
          <w:rFonts w:ascii="Times New Roman" w:hAnsi="Times New Roman" w:eastAsia="宋体"/>
          <w:sz w:val="24"/>
        </w:rPr>
      </w:pPr>
      <w:r>
        <w:rPr>
          <w:rFonts w:hint="eastAsia" w:ascii="Times New Roman" w:hAnsi="Times New Roman" w:eastAsia="宋体"/>
          <w:sz w:val="24"/>
        </w:rPr>
        <w:t>综合考虑盐城市盐都区地下水水文地质结构、脆弱性、污染状况、水资源禀赋和行政区划等因素，建立地下水污染防治分区体系，划定地下水污染保护区、防控区及治理区。</w:t>
      </w:r>
    </w:p>
    <w:p>
      <w:pPr>
        <w:spacing w:line="360" w:lineRule="auto"/>
        <w:rPr>
          <w:rFonts w:ascii="Times New Roman" w:hAnsi="Times New Roman" w:eastAsia="宋体"/>
          <w:sz w:val="24"/>
        </w:rPr>
      </w:pPr>
      <w:r>
        <w:rPr>
          <w:rFonts w:hint="eastAsia" w:ascii="Times New Roman" w:hAnsi="Times New Roman" w:eastAsia="宋体"/>
          <w:sz w:val="24"/>
        </w:rPr>
        <w:t>二、工作目的</w:t>
      </w:r>
    </w:p>
    <w:p>
      <w:pPr>
        <w:spacing w:line="360" w:lineRule="auto"/>
        <w:ind w:firstLine="480" w:firstLineChars="200"/>
        <w:rPr>
          <w:rFonts w:hint="eastAsia" w:ascii="Times New Roman" w:hAnsi="Times New Roman" w:eastAsia="宋体"/>
          <w:sz w:val="24"/>
        </w:rPr>
      </w:pPr>
      <w:r>
        <w:rPr>
          <w:rFonts w:hint="eastAsia" w:ascii="Times New Roman" w:hAnsi="Times New Roman" w:eastAsia="宋体"/>
          <w:sz w:val="24"/>
        </w:rPr>
        <w:t>为贯彻落实《全国地下水污染防治规划</w:t>
      </w:r>
      <w:r>
        <w:rPr>
          <w:rFonts w:ascii="Times New Roman" w:hAnsi="Times New Roman" w:eastAsia="宋体"/>
          <w:sz w:val="24"/>
        </w:rPr>
        <w:t>(2011-2020年)》《地下水污染防治实施方案》(环土壤〔2019〕25号)，遏制地下水污染加剧趋势，推进地下水污染监督防治，规范地下水污染防治分区划分工作，根据《中华人民共和国环境保护法》《中华人民共和国水污染防治法》及相关法律、法规、标准，编制《</w:t>
      </w:r>
      <w:r>
        <w:rPr>
          <w:rFonts w:hint="eastAsia" w:ascii="Times New Roman" w:hAnsi="Times New Roman" w:eastAsia="宋体"/>
          <w:sz w:val="24"/>
        </w:rPr>
        <w:t>盐都区</w:t>
      </w:r>
      <w:r>
        <w:rPr>
          <w:rFonts w:ascii="Times New Roman" w:hAnsi="Times New Roman" w:eastAsia="宋体"/>
          <w:sz w:val="24"/>
        </w:rPr>
        <w:t>地下水污染防治分区划分工作指南》(以下简称指南)。</w:t>
      </w:r>
    </w:p>
    <w:p>
      <w:pPr>
        <w:spacing w:line="360" w:lineRule="auto"/>
        <w:rPr>
          <w:rFonts w:ascii="Times New Roman" w:hAnsi="Times New Roman" w:eastAsia="宋体"/>
          <w:sz w:val="24"/>
        </w:rPr>
      </w:pPr>
      <w:r>
        <w:rPr>
          <w:rFonts w:hint="eastAsia" w:ascii="Times New Roman" w:hAnsi="Times New Roman" w:eastAsia="宋体"/>
          <w:sz w:val="24"/>
        </w:rPr>
        <w:t>三、工作范围</w:t>
      </w:r>
    </w:p>
    <w:p>
      <w:pPr>
        <w:spacing w:line="360" w:lineRule="auto"/>
        <w:rPr>
          <w:rFonts w:ascii="Times New Roman" w:hAnsi="Times New Roman" w:eastAsia="宋体"/>
          <w:sz w:val="24"/>
        </w:rPr>
      </w:pPr>
      <w:r>
        <w:rPr>
          <w:rFonts w:hint="eastAsia" w:ascii="Times New Roman" w:hAnsi="Times New Roman" w:eastAsia="宋体"/>
          <w:sz w:val="24"/>
        </w:rPr>
        <w:t>以盐城市盐都区为评估范围。</w:t>
      </w:r>
    </w:p>
    <w:p>
      <w:pPr>
        <w:spacing w:line="360" w:lineRule="auto"/>
        <w:rPr>
          <w:rFonts w:ascii="Times New Roman" w:hAnsi="Times New Roman" w:eastAsia="宋体"/>
          <w:sz w:val="24"/>
        </w:rPr>
      </w:pPr>
      <w:r>
        <w:rPr>
          <w:rFonts w:hint="eastAsia" w:ascii="Times New Roman" w:hAnsi="Times New Roman" w:eastAsia="宋体"/>
          <w:sz w:val="24"/>
        </w:rPr>
        <w:t>四、工作流程</w:t>
      </w:r>
    </w:p>
    <w:p>
      <w:pPr>
        <w:spacing w:line="360" w:lineRule="auto"/>
        <w:rPr>
          <w:rFonts w:ascii="Times New Roman" w:hAnsi="Times New Roman" w:eastAsia="宋体"/>
          <w:sz w:val="24"/>
        </w:rPr>
      </w:pPr>
      <w:r>
        <w:rPr>
          <w:rFonts w:ascii="Times New Roman" w:hAnsi="Times New Roman" w:eastAsia="宋体"/>
          <w:sz w:val="24"/>
        </w:rPr>
        <w:t>(一)收集资料。根据地下水污染源荷载、脆弱性、功能价值、污染现状评估的指标体系，收集相关数据资料，并开展必要的补充调查工作。</w:t>
      </w:r>
    </w:p>
    <w:p>
      <w:pPr>
        <w:spacing w:line="360" w:lineRule="auto"/>
        <w:rPr>
          <w:rFonts w:ascii="Times New Roman" w:hAnsi="Times New Roman" w:eastAsia="宋体"/>
          <w:sz w:val="24"/>
        </w:rPr>
      </w:pPr>
      <w:r>
        <w:rPr>
          <w:rFonts w:ascii="Times New Roman" w:hAnsi="Times New Roman" w:eastAsia="宋体"/>
          <w:sz w:val="24"/>
        </w:rPr>
        <w:t>(二）地下水污染源荷载、脆弱性和功能价值的指标体系评估。根据资料分析结果，采用各指标体系的评估方法，开展</w:t>
      </w:r>
      <w:r>
        <w:rPr>
          <w:rFonts w:hint="eastAsia" w:ascii="Times New Roman" w:hAnsi="Times New Roman" w:eastAsia="宋体"/>
          <w:sz w:val="24"/>
        </w:rPr>
        <w:t>盐都区</w:t>
      </w:r>
      <w:r>
        <w:rPr>
          <w:rFonts w:ascii="Times New Roman" w:hAnsi="Times New Roman" w:eastAsia="宋体"/>
          <w:sz w:val="24"/>
        </w:rPr>
        <w:t>地下水污染源荷载分区、地下水脆弱性分区、地下水功能价值分区等工作。</w:t>
      </w:r>
    </w:p>
    <w:p>
      <w:pPr>
        <w:spacing w:line="360" w:lineRule="auto"/>
        <w:rPr>
          <w:rFonts w:ascii="Times New Roman" w:hAnsi="Times New Roman" w:eastAsia="宋体"/>
          <w:sz w:val="24"/>
        </w:rPr>
      </w:pPr>
      <w:r>
        <w:rPr>
          <w:rFonts w:ascii="Times New Roman" w:hAnsi="Times New Roman" w:eastAsia="宋体"/>
          <w:sz w:val="24"/>
        </w:rPr>
        <w:t xml:space="preserve">(三)地下水污染现状评估。根据地下水质量目标、标准限值、对照值（或背景值)开展地下水污染现状评估， </w:t>
      </w:r>
    </w:p>
    <w:p>
      <w:pPr>
        <w:pStyle w:val="24"/>
        <w:snapToGrid w:val="0"/>
        <w:spacing w:before="120" w:after="120" w:line="500" w:lineRule="exact"/>
        <w:ind w:firstLine="240" w:firstLineChars="100"/>
        <w:rPr>
          <w:rFonts w:hint="eastAsia" w:hAnsi="宋体"/>
          <w:color w:val="000000" w:themeColor="text1"/>
          <w:sz w:val="24"/>
          <w:szCs w:val="24"/>
        </w:rPr>
      </w:pPr>
      <w:r>
        <w:rPr>
          <w:rFonts w:ascii="Times New Roman" w:hAnsi="Times New Roman" w:eastAsia="宋体"/>
          <w:sz w:val="24"/>
        </w:rPr>
        <w:t>(四）地下水污染防治分区划分。根据地下水使用功能、污</w:t>
      </w:r>
      <w:r>
        <w:rPr>
          <w:rFonts w:hint="eastAsia" w:ascii="Times New Roman" w:hAnsi="Times New Roman" w:eastAsia="宋体"/>
          <w:sz w:val="24"/>
        </w:rPr>
        <w:t>染现状评估结果、地下水污染源荷载、脆弱性等﹐划分为保护区、防控区、治理区，提出针对性的地下水污染防治对策建议。</w:t>
      </w:r>
    </w:p>
    <w:p>
      <w:pPr>
        <w:pStyle w:val="24"/>
        <w:snapToGrid w:val="0"/>
        <w:spacing w:before="120" w:after="120" w:line="500" w:lineRule="exact"/>
        <w:ind w:firstLine="240" w:firstLineChars="100"/>
        <w:rPr>
          <w:rFonts w:hint="eastAsia" w:hAnsi="宋体"/>
          <w:color w:val="000000" w:themeColor="text1"/>
          <w:sz w:val="24"/>
          <w:szCs w:val="24"/>
        </w:rPr>
      </w:pPr>
    </w:p>
    <w:p>
      <w:pPr>
        <w:pStyle w:val="24"/>
        <w:snapToGrid w:val="0"/>
        <w:spacing w:before="120" w:after="120" w:line="500" w:lineRule="exact"/>
        <w:ind w:firstLine="240" w:firstLineChars="100"/>
        <w:rPr>
          <w:rFonts w:hint="eastAsia" w:hAnsi="宋体"/>
          <w:color w:val="000000" w:themeColor="text1"/>
          <w:sz w:val="24"/>
          <w:szCs w:val="24"/>
        </w:rPr>
      </w:pPr>
    </w:p>
    <w:p>
      <w:pPr>
        <w:pStyle w:val="24"/>
        <w:snapToGrid w:val="0"/>
        <w:spacing w:before="120" w:after="120" w:line="500" w:lineRule="exact"/>
        <w:ind w:firstLine="240" w:firstLineChars="100"/>
        <w:rPr>
          <w:rFonts w:hAnsi="宋体"/>
          <w:color w:val="000000" w:themeColor="text1"/>
          <w:sz w:val="24"/>
          <w:szCs w:val="24"/>
        </w:rPr>
      </w:pPr>
    </w:p>
    <w:p>
      <w:pPr>
        <w:pStyle w:val="24"/>
        <w:snapToGrid w:val="0"/>
        <w:spacing w:before="120" w:after="120" w:line="500" w:lineRule="exact"/>
        <w:ind w:firstLine="240" w:firstLineChars="100"/>
        <w:rPr>
          <w:rFonts w:hAnsi="宋体"/>
          <w:color w:val="000000" w:themeColor="text1"/>
          <w:sz w:val="24"/>
          <w:szCs w:val="24"/>
        </w:rPr>
      </w:pPr>
    </w:p>
    <w:p>
      <w:pPr>
        <w:pStyle w:val="6"/>
        <w:keepNext w:val="0"/>
        <w:spacing w:line="900" w:lineRule="exact"/>
        <w:rPr>
          <w:rFonts w:ascii="宋体" w:hAnsi="宋体" w:eastAsia="宋体"/>
          <w:b/>
          <w:sz w:val="36"/>
          <w:szCs w:val="36"/>
        </w:rPr>
      </w:pPr>
      <w:r>
        <w:rPr>
          <w:rFonts w:hint="eastAsia" w:ascii="宋体" w:hAnsi="宋体" w:eastAsia="宋体"/>
          <w:b/>
          <w:sz w:val="36"/>
          <w:szCs w:val="36"/>
        </w:rPr>
        <w:t>评标方法与评标标准</w:t>
      </w:r>
    </w:p>
    <w:p/>
    <w:p>
      <w:pPr>
        <w:snapToGrid w:val="0"/>
        <w:spacing w:line="500" w:lineRule="exact"/>
        <w:ind w:firstLine="482" w:firstLineChars="200"/>
        <w:rPr>
          <w:rFonts w:ascii="宋体" w:cs="Courier New"/>
          <w:b/>
          <w:bCs/>
          <w:sz w:val="24"/>
          <w:szCs w:val="24"/>
        </w:rPr>
      </w:pPr>
      <w:r>
        <w:rPr>
          <w:rFonts w:hint="eastAsia" w:ascii="宋体" w:hAnsi="宋体" w:cs="Courier New"/>
          <w:b/>
          <w:bCs/>
          <w:sz w:val="24"/>
          <w:szCs w:val="24"/>
        </w:rPr>
        <w:t>一、评标方法与定标原则</w:t>
      </w:r>
    </w:p>
    <w:p>
      <w:pPr>
        <w:widowControl/>
        <w:tabs>
          <w:tab w:val="left" w:pos="916"/>
          <w:tab w:val="left" w:pos="1832"/>
          <w:tab w:val="left" w:pos="2748"/>
          <w:tab w:val="left" w:pos="3664"/>
          <w:tab w:val="left" w:pos="4580"/>
          <w:tab w:val="left" w:pos="5496"/>
          <w:tab w:val="left" w:pos="6412"/>
          <w:tab w:val="left" w:pos="7328"/>
          <w:tab w:val="left" w:pos="7380"/>
          <w:tab w:val="left" w:pos="8640"/>
          <w:tab w:val="left" w:pos="9160"/>
          <w:tab w:val="left" w:pos="9418"/>
          <w:tab w:val="left" w:pos="10992"/>
          <w:tab w:val="left" w:pos="11908"/>
          <w:tab w:val="left" w:pos="12824"/>
          <w:tab w:val="left" w:pos="13740"/>
          <w:tab w:val="left" w:pos="14656"/>
        </w:tabs>
        <w:spacing w:line="500" w:lineRule="exact"/>
        <w:ind w:right="-4" w:rightChars="-2" w:firstLine="480" w:firstLineChars="200"/>
        <w:rPr>
          <w:rFonts w:ascii="宋体" w:hAnsi="宋体" w:cs="Arial"/>
          <w:color w:val="000000"/>
          <w:kern w:val="0"/>
          <w:sz w:val="24"/>
          <w:szCs w:val="24"/>
        </w:rPr>
      </w:pPr>
      <w:r>
        <w:rPr>
          <w:rFonts w:hint="eastAsia" w:ascii="宋体" w:hAnsi="宋体" w:cs="Courier New"/>
          <w:bCs/>
          <w:color w:val="000000"/>
          <w:sz w:val="24"/>
          <w:szCs w:val="24"/>
        </w:rPr>
        <w:t>本项目采用</w:t>
      </w:r>
      <w:r>
        <w:rPr>
          <w:rFonts w:hint="eastAsia" w:ascii="宋体" w:hAnsi="宋体" w:cs="Courier New"/>
          <w:bCs/>
          <w:color w:val="000000"/>
          <w:sz w:val="24"/>
          <w:szCs w:val="24"/>
          <w:u w:val="single"/>
        </w:rPr>
        <w:t xml:space="preserve"> 综合评分 </w:t>
      </w:r>
      <w:r>
        <w:rPr>
          <w:rFonts w:hint="eastAsia" w:ascii="宋体" w:hAnsi="宋体" w:cs="Courier New"/>
          <w:bCs/>
          <w:color w:val="000000"/>
          <w:sz w:val="24"/>
          <w:szCs w:val="24"/>
        </w:rPr>
        <w:t>法。</w:t>
      </w:r>
      <w:r>
        <w:rPr>
          <w:rFonts w:hint="eastAsia" w:ascii="宋体" w:hAnsi="宋体" w:cs="Arial"/>
          <w:color w:val="000000"/>
          <w:kern w:val="0"/>
          <w:sz w:val="24"/>
          <w:szCs w:val="24"/>
        </w:rPr>
        <w:t>评标结果按评审后得分由高到低顺序排列。得分相同的，按投标报价由低到高顺序排列。得分且投标报价相同的，由评标委员会组织通过抽签的方式确定中标候选人的排序。投标文件满足招标文件全部实质性要求，且按照评审因素的量化指标评审得分最高的投标人为排名第一的中标候选人，本项目选取1名中标候选人。</w:t>
      </w:r>
    </w:p>
    <w:p>
      <w:pPr>
        <w:pStyle w:val="38"/>
        <w:ind w:firstLine="480"/>
        <w:rPr>
          <w:rFonts w:ascii="宋体" w:hAnsi="宋体" w:eastAsia="宋体" w:cs="Arial"/>
          <w:color w:val="000000"/>
          <w:kern w:val="0"/>
          <w:sz w:val="24"/>
          <w:szCs w:val="24"/>
        </w:rPr>
      </w:pPr>
      <w:r>
        <w:rPr>
          <w:rFonts w:hint="eastAsia" w:ascii="宋体" w:hAnsi="宋体" w:eastAsia="宋体" w:cs="Arial"/>
          <w:color w:val="000000"/>
          <w:kern w:val="0"/>
          <w:sz w:val="24"/>
          <w:szCs w:val="24"/>
        </w:rPr>
        <w:t>排名第一的中标候选人放弃中标，或因不可抗力提出不能履行合同，或者被查实存在影响中标结果的违法行为等情形，不符合中标条件的，本项目直接重新招标，不确定其他投标人为中标人。</w:t>
      </w:r>
    </w:p>
    <w:p>
      <w:pPr>
        <w:pStyle w:val="10"/>
        <w:spacing w:before="0" w:after="0" w:line="500" w:lineRule="exact"/>
        <w:ind w:firstLine="482" w:firstLineChars="200"/>
        <w:rPr>
          <w:rFonts w:ascii="宋体" w:hAnsi="宋体" w:eastAsia="宋体"/>
          <w:sz w:val="24"/>
          <w:szCs w:val="24"/>
        </w:rPr>
      </w:pPr>
      <w:r>
        <w:rPr>
          <w:rFonts w:hint="eastAsia" w:ascii="宋体" w:hAnsi="宋体" w:eastAsia="宋体"/>
          <w:sz w:val="24"/>
          <w:szCs w:val="24"/>
        </w:rPr>
        <w:t>二、对投标文件的初审</w:t>
      </w:r>
    </w:p>
    <w:p>
      <w:pPr>
        <w:spacing w:line="500" w:lineRule="exact"/>
        <w:ind w:firstLine="480" w:firstLineChars="200"/>
        <w:rPr>
          <w:rFonts w:ascii="宋体"/>
          <w:bCs/>
          <w:sz w:val="24"/>
          <w:szCs w:val="24"/>
        </w:rPr>
      </w:pPr>
      <w:r>
        <w:rPr>
          <w:rFonts w:hint="eastAsia" w:ascii="宋体" w:hAnsi="宋体"/>
          <w:bCs/>
          <w:sz w:val="24"/>
          <w:szCs w:val="24"/>
        </w:rPr>
        <w:t>投标文件初审分为资格审查和符合性审查。</w:t>
      </w:r>
    </w:p>
    <w:p>
      <w:pPr>
        <w:spacing w:line="500" w:lineRule="exact"/>
        <w:ind w:firstLine="482" w:firstLineChars="200"/>
        <w:rPr>
          <w:rFonts w:ascii="宋体"/>
          <w:b/>
          <w:bCs/>
          <w:sz w:val="24"/>
          <w:szCs w:val="24"/>
        </w:rPr>
      </w:pPr>
      <w:r>
        <w:rPr>
          <w:rFonts w:hint="eastAsia" w:ascii="宋体" w:hAnsi="宋体"/>
          <w:b/>
          <w:bCs/>
          <w:sz w:val="24"/>
          <w:szCs w:val="24"/>
        </w:rPr>
        <w:t>资格审查</w:t>
      </w:r>
    </w:p>
    <w:p>
      <w:pPr>
        <w:spacing w:line="500" w:lineRule="exact"/>
        <w:ind w:firstLine="482" w:firstLineChars="200"/>
        <w:rPr>
          <w:rFonts w:ascii="宋体"/>
          <w:b/>
          <w:bCs/>
          <w:sz w:val="24"/>
          <w:szCs w:val="24"/>
        </w:rPr>
      </w:pPr>
      <w:r>
        <w:rPr>
          <w:rFonts w:hint="eastAsia" w:ascii="宋体" w:hAnsi="宋体"/>
          <w:b/>
          <w:bCs/>
          <w:sz w:val="24"/>
          <w:szCs w:val="24"/>
        </w:rPr>
        <w:t>开标结束后，采购人或者采购代理机构依法对投标人的资格进行审查。</w:t>
      </w:r>
    </w:p>
    <w:p>
      <w:pPr>
        <w:spacing w:line="500" w:lineRule="exact"/>
        <w:ind w:firstLine="480" w:firstLineChars="200"/>
        <w:rPr>
          <w:rFonts w:ascii="宋体" w:hAnsi="宋体"/>
          <w:bCs/>
          <w:color w:val="000000"/>
          <w:sz w:val="24"/>
          <w:szCs w:val="24"/>
        </w:rPr>
      </w:pPr>
      <w:r>
        <w:rPr>
          <w:rFonts w:hint="eastAsia" w:ascii="宋体" w:hAnsi="宋体"/>
          <w:bCs/>
          <w:color w:val="000000"/>
          <w:sz w:val="24"/>
          <w:szCs w:val="24"/>
        </w:rPr>
        <w:t>审查投标文件中的资格、资信证明文件等，以确定投标人是否具备投标资格。（资格审查需提供的材料详见《资格信誉等证明文件要求》）</w:t>
      </w:r>
    </w:p>
    <w:p>
      <w:pPr>
        <w:spacing w:line="500" w:lineRule="exact"/>
        <w:ind w:firstLine="482" w:firstLineChars="200"/>
        <w:rPr>
          <w:rFonts w:ascii="宋体"/>
          <w:b/>
          <w:bCs/>
          <w:sz w:val="24"/>
          <w:szCs w:val="24"/>
        </w:rPr>
      </w:pPr>
      <w:r>
        <w:rPr>
          <w:rFonts w:hint="eastAsia" w:ascii="宋体" w:hAnsi="宋体"/>
          <w:b/>
          <w:bCs/>
          <w:sz w:val="24"/>
          <w:szCs w:val="24"/>
        </w:rPr>
        <w:t>符合性审查</w:t>
      </w:r>
    </w:p>
    <w:p>
      <w:pPr>
        <w:spacing w:line="500" w:lineRule="exact"/>
        <w:ind w:firstLine="482" w:firstLineChars="200"/>
        <w:rPr>
          <w:rFonts w:ascii="宋体"/>
          <w:b/>
          <w:bCs/>
          <w:sz w:val="24"/>
          <w:szCs w:val="24"/>
        </w:rPr>
      </w:pPr>
      <w:r>
        <w:rPr>
          <w:rFonts w:hint="eastAsia" w:ascii="宋体" w:hAnsi="宋体"/>
          <w:b/>
          <w:bCs/>
          <w:sz w:val="24"/>
          <w:szCs w:val="24"/>
        </w:rPr>
        <w:t>评标委员会对符合资格的投标人的投标文件进行符合性审查。</w:t>
      </w:r>
    </w:p>
    <w:p>
      <w:pPr>
        <w:spacing w:line="500" w:lineRule="exact"/>
        <w:ind w:firstLine="480" w:firstLineChars="200"/>
        <w:rPr>
          <w:rFonts w:ascii="宋体"/>
          <w:bCs/>
          <w:color w:val="000000"/>
          <w:sz w:val="24"/>
          <w:szCs w:val="24"/>
        </w:rPr>
      </w:pPr>
      <w:r>
        <w:rPr>
          <w:rFonts w:hint="eastAsia" w:ascii="宋体" w:hAnsi="宋体"/>
          <w:bCs/>
          <w:color w:val="000000"/>
          <w:sz w:val="24"/>
          <w:szCs w:val="24"/>
        </w:rPr>
        <w:t>依据招标文件的规定，从投标文件的有效性、完整性和对招标文件的响应程度进行审查，以确定其是否满足招标文件的实质性要求。</w:t>
      </w:r>
    </w:p>
    <w:p>
      <w:pPr>
        <w:spacing w:line="500" w:lineRule="exact"/>
        <w:ind w:firstLine="480" w:firstLineChars="200"/>
        <w:rPr>
          <w:rFonts w:ascii="宋体"/>
          <w:color w:val="000000"/>
          <w:sz w:val="24"/>
          <w:szCs w:val="24"/>
        </w:rPr>
      </w:pPr>
      <w:r>
        <w:rPr>
          <w:rFonts w:hint="eastAsia" w:ascii="宋体" w:hAnsi="宋体"/>
          <w:color w:val="000000"/>
          <w:sz w:val="24"/>
          <w:szCs w:val="24"/>
        </w:rPr>
        <w:t>明确响应的投标应该是与招标文件要求的全部条款、条件和规格相符，没有重大偏离或保留的投标。</w:t>
      </w:r>
    </w:p>
    <w:p>
      <w:pPr>
        <w:spacing w:line="500" w:lineRule="exact"/>
        <w:ind w:firstLine="480" w:firstLineChars="200"/>
        <w:rPr>
          <w:rFonts w:ascii="宋体"/>
          <w:bCs/>
          <w:color w:val="000000"/>
          <w:sz w:val="24"/>
          <w:szCs w:val="24"/>
        </w:rPr>
      </w:pPr>
      <w:r>
        <w:rPr>
          <w:rFonts w:hint="eastAsia" w:ascii="宋体" w:hAnsi="宋体"/>
          <w:color w:val="000000"/>
          <w:sz w:val="24"/>
          <w:szCs w:val="24"/>
        </w:rPr>
        <w:t>所谓重大偏离或保留是指与招标文件规定的实质性要求存在负偏离，或者在实质上与招标文件不一致，而且限制了合同中买方和见证方的权利或投标人的义务，纠正这些偏离或保留将会对其他实质性响应要求的投标人的竞争地位产生不公正的影响。是否属于重大偏离由评标委员会按照少数服从多数的原则作出结论。认定</w:t>
      </w:r>
      <w:r>
        <w:rPr>
          <w:rFonts w:hint="eastAsia" w:ascii="宋体" w:hAnsi="宋体"/>
          <w:bCs/>
          <w:color w:val="000000"/>
          <w:sz w:val="24"/>
          <w:szCs w:val="24"/>
        </w:rPr>
        <w:t>评委决定投标文件的响应性只根据投标文件本身的内容，而不寻求外部的证据。</w:t>
      </w:r>
    </w:p>
    <w:p>
      <w:pPr>
        <w:spacing w:line="500" w:lineRule="exact"/>
        <w:ind w:firstLine="480" w:firstLineChars="200"/>
        <w:rPr>
          <w:rFonts w:ascii="宋体"/>
          <w:bCs/>
          <w:color w:val="000000"/>
          <w:sz w:val="24"/>
          <w:szCs w:val="24"/>
        </w:rPr>
      </w:pPr>
      <w:r>
        <w:rPr>
          <w:rFonts w:hint="eastAsia" w:ascii="宋体" w:hAnsi="宋体"/>
          <w:bCs/>
          <w:color w:val="000000"/>
          <w:sz w:val="24"/>
          <w:szCs w:val="24"/>
        </w:rPr>
        <w:t>如果投标文件没有明确响应招标文件的要求，评标委员会将按无效投标处理，投标人不得通过修改或撤销不合要求的偏离或保留而使其投标成为明确响应的投标。</w:t>
      </w:r>
    </w:p>
    <w:p>
      <w:pPr>
        <w:spacing w:line="360" w:lineRule="auto"/>
        <w:ind w:firstLine="480" w:firstLineChars="200"/>
        <w:rPr>
          <w:rFonts w:ascii="宋体"/>
          <w:bCs/>
          <w:color w:val="000000"/>
          <w:sz w:val="24"/>
          <w:szCs w:val="24"/>
        </w:rPr>
      </w:pPr>
      <w:r>
        <w:rPr>
          <w:rFonts w:hint="eastAsia" w:ascii="宋体" w:hAnsi="宋体"/>
          <w:bCs/>
          <w:color w:val="000000"/>
          <w:sz w:val="24"/>
          <w:szCs w:val="24"/>
        </w:rPr>
        <w:t>评标委员会将对确定为明确响应的投标进行进一步审核，</w:t>
      </w:r>
      <w:r>
        <w:rPr>
          <w:rFonts w:hint="eastAsia" w:ascii="宋体" w:hAnsi="宋体" w:cs="Arial"/>
          <w:color w:val="000000"/>
          <w:kern w:val="0"/>
          <w:sz w:val="24"/>
          <w:szCs w:val="24"/>
        </w:rPr>
        <w:t>投标文件报价出现前后不一致的，除招标文件另有规定外，按照下列规定修正：</w:t>
      </w:r>
    </w:p>
    <w:p>
      <w:pPr>
        <w:spacing w:line="360" w:lineRule="auto"/>
        <w:ind w:firstLine="480" w:firstLineChars="200"/>
        <w:rPr>
          <w:rFonts w:ascii="宋体"/>
          <w:bCs/>
          <w:color w:val="000000"/>
          <w:sz w:val="24"/>
          <w:szCs w:val="24"/>
        </w:rPr>
      </w:pPr>
      <w:r>
        <w:rPr>
          <w:rFonts w:ascii="宋体" w:hAnsi="宋体"/>
          <w:bCs/>
          <w:color w:val="000000"/>
          <w:sz w:val="24"/>
          <w:szCs w:val="24"/>
        </w:rPr>
        <w:t>1.</w:t>
      </w:r>
      <w:r>
        <w:rPr>
          <w:rFonts w:hint="eastAsia" w:ascii="宋体" w:hAnsi="宋体" w:cs="Arial"/>
          <w:color w:val="000000"/>
          <w:kern w:val="0"/>
          <w:sz w:val="24"/>
          <w:szCs w:val="24"/>
        </w:rPr>
        <w:t>投标文件中开标一览表内容与投标文件中相应内容不一致的，以开标一览表为准；</w:t>
      </w:r>
    </w:p>
    <w:p>
      <w:pPr>
        <w:widowControl/>
        <w:spacing w:before="100" w:beforeAutospacing="1" w:after="240" w:line="360" w:lineRule="auto"/>
        <w:contextualSpacing/>
        <w:jc w:val="left"/>
        <w:rPr>
          <w:rFonts w:ascii="宋体" w:cs="Arial"/>
          <w:color w:val="000000"/>
          <w:kern w:val="0"/>
          <w:sz w:val="24"/>
          <w:szCs w:val="24"/>
        </w:rPr>
      </w:pPr>
      <w:r>
        <w:rPr>
          <w:rFonts w:hint="eastAsia" w:ascii="宋体" w:hAnsi="宋体" w:cs="Arial"/>
          <w:color w:val="000000"/>
          <w:kern w:val="0"/>
          <w:sz w:val="24"/>
          <w:szCs w:val="24"/>
        </w:rPr>
        <w:t>　　</w:t>
      </w:r>
      <w:r>
        <w:rPr>
          <w:rFonts w:ascii="宋体" w:hAnsi="宋体"/>
          <w:bCs/>
          <w:color w:val="000000"/>
          <w:sz w:val="24"/>
          <w:szCs w:val="24"/>
        </w:rPr>
        <w:t>2.</w:t>
      </w:r>
      <w:r>
        <w:rPr>
          <w:rFonts w:hint="eastAsia" w:ascii="宋体" w:hAnsi="宋体" w:cs="Arial"/>
          <w:color w:val="000000"/>
          <w:kern w:val="0"/>
          <w:sz w:val="24"/>
          <w:szCs w:val="24"/>
        </w:rPr>
        <w:t>大写金额和小写金额不一致的，以大写金额为准；</w:t>
      </w:r>
    </w:p>
    <w:p>
      <w:pPr>
        <w:widowControl/>
        <w:spacing w:before="100" w:beforeAutospacing="1" w:after="240" w:line="360" w:lineRule="auto"/>
        <w:contextualSpacing/>
        <w:jc w:val="left"/>
        <w:rPr>
          <w:rFonts w:ascii="宋体" w:cs="Arial"/>
          <w:color w:val="000000"/>
          <w:kern w:val="0"/>
          <w:sz w:val="24"/>
          <w:szCs w:val="24"/>
        </w:rPr>
      </w:pPr>
      <w:r>
        <w:rPr>
          <w:rFonts w:hint="eastAsia" w:ascii="宋体" w:hAnsi="宋体" w:cs="Arial"/>
          <w:color w:val="000000"/>
          <w:kern w:val="0"/>
          <w:sz w:val="24"/>
          <w:szCs w:val="24"/>
        </w:rPr>
        <w:t>　　</w:t>
      </w:r>
      <w:r>
        <w:rPr>
          <w:rFonts w:ascii="宋体" w:hAnsi="宋体"/>
          <w:bCs/>
          <w:color w:val="000000"/>
          <w:sz w:val="24"/>
          <w:szCs w:val="24"/>
        </w:rPr>
        <w:t>3.</w:t>
      </w:r>
      <w:r>
        <w:rPr>
          <w:rFonts w:hint="eastAsia" w:ascii="宋体" w:hAnsi="宋体" w:cs="Arial"/>
          <w:color w:val="000000"/>
          <w:kern w:val="0"/>
          <w:sz w:val="24"/>
          <w:szCs w:val="24"/>
        </w:rPr>
        <w:t>单价金额小数点或者百分比有明显错位的，以开标一览表的总价为准，并修改单价；</w:t>
      </w:r>
    </w:p>
    <w:p>
      <w:pPr>
        <w:widowControl/>
        <w:spacing w:before="100" w:beforeAutospacing="1" w:after="240" w:line="360" w:lineRule="auto"/>
        <w:contextualSpacing/>
        <w:jc w:val="left"/>
        <w:rPr>
          <w:rFonts w:ascii="宋体" w:cs="Arial"/>
          <w:kern w:val="0"/>
          <w:sz w:val="24"/>
          <w:szCs w:val="24"/>
        </w:rPr>
      </w:pPr>
      <w:r>
        <w:rPr>
          <w:rFonts w:hint="eastAsia" w:ascii="宋体" w:hAnsi="宋体" w:cs="Arial"/>
          <w:color w:val="000000"/>
          <w:kern w:val="0"/>
          <w:sz w:val="24"/>
          <w:szCs w:val="24"/>
        </w:rPr>
        <w:t>　</w:t>
      </w:r>
      <w:r>
        <w:rPr>
          <w:rFonts w:hint="eastAsia" w:ascii="宋体" w:hAnsi="宋体" w:cs="Arial"/>
          <w:kern w:val="0"/>
          <w:sz w:val="24"/>
          <w:szCs w:val="24"/>
        </w:rPr>
        <w:t>　</w:t>
      </w:r>
      <w:r>
        <w:rPr>
          <w:rFonts w:ascii="宋体" w:hAnsi="宋体"/>
          <w:bCs/>
          <w:sz w:val="24"/>
          <w:szCs w:val="24"/>
        </w:rPr>
        <w:t>4.</w:t>
      </w:r>
      <w:r>
        <w:rPr>
          <w:rFonts w:hint="eastAsia" w:ascii="宋体" w:hAnsi="宋体" w:cs="Arial"/>
          <w:kern w:val="0"/>
          <w:sz w:val="24"/>
          <w:szCs w:val="24"/>
        </w:rPr>
        <w:t>总价金额与按单价汇总金额不一致的，以单价金额计算结果为准。</w:t>
      </w:r>
    </w:p>
    <w:p>
      <w:pPr>
        <w:spacing w:line="360" w:lineRule="auto"/>
        <w:ind w:firstLine="480" w:firstLineChars="200"/>
        <w:rPr>
          <w:rFonts w:ascii="宋体" w:hAnsi="宋体" w:cs="Arial"/>
          <w:kern w:val="0"/>
          <w:sz w:val="24"/>
          <w:szCs w:val="24"/>
        </w:rPr>
      </w:pPr>
      <w:r>
        <w:rPr>
          <w:rFonts w:hint="eastAsia" w:ascii="宋体" w:hAnsi="宋体"/>
          <w:bCs/>
          <w:sz w:val="24"/>
          <w:szCs w:val="24"/>
        </w:rPr>
        <w:t>评标委员会将按上述修正错误的方法调整投标文件中的投标报价，</w:t>
      </w:r>
      <w:r>
        <w:rPr>
          <w:rFonts w:hint="eastAsia" w:ascii="宋体" w:hAnsi="宋体" w:cs="Arial"/>
          <w:kern w:val="0"/>
          <w:sz w:val="24"/>
          <w:szCs w:val="24"/>
        </w:rPr>
        <w:t>修正后的报价应当采用书面形式，并加盖公章，或者由法定代表人或其授权的代表签字，经投标人确认后产生约束力，投标人不确认的，其投标无效。</w:t>
      </w:r>
    </w:p>
    <w:p>
      <w:pPr>
        <w:spacing w:line="360" w:lineRule="auto"/>
        <w:ind w:firstLine="480" w:firstLineChars="200"/>
        <w:rPr>
          <w:rFonts w:ascii="宋体" w:cs="Arial"/>
          <w:color w:val="000000"/>
          <w:kern w:val="0"/>
          <w:sz w:val="24"/>
          <w:szCs w:val="24"/>
        </w:rPr>
      </w:pPr>
      <w:r>
        <w:rPr>
          <w:rFonts w:hint="eastAsia" w:ascii="宋体" w:hAnsi="宋体" w:cs="Arial"/>
          <w:kern w:val="0"/>
          <w:sz w:val="24"/>
          <w:szCs w:val="24"/>
        </w:rPr>
        <w:t>评标委员会认为投标人的报价明显低于其他通过符合性审查投标人的报价，有可能影响产品质量或者不能诚</w:t>
      </w:r>
      <w:r>
        <w:rPr>
          <w:rFonts w:hint="eastAsia" w:ascii="宋体" w:hAnsi="宋体" w:cs="Arial"/>
          <w:color w:val="000000"/>
          <w:kern w:val="0"/>
          <w:sz w:val="24"/>
          <w:szCs w:val="24"/>
        </w:rPr>
        <w:t>信履约的，应当要求其在评标现场合理的时间内提供书面说明，必要时提交相关证明材料；投标人不能证明其报价合理性的，评标委员会应当将其作为无效投标处理。</w:t>
      </w:r>
    </w:p>
    <w:p>
      <w:pPr>
        <w:snapToGrid w:val="0"/>
        <w:spacing w:line="360" w:lineRule="auto"/>
        <w:ind w:firstLine="482" w:firstLineChars="200"/>
        <w:rPr>
          <w:rFonts w:ascii="宋体" w:hAnsi="宋体" w:cs="Courier New"/>
          <w:b/>
          <w:bCs/>
          <w:sz w:val="24"/>
          <w:szCs w:val="24"/>
        </w:rPr>
      </w:pPr>
      <w:r>
        <w:rPr>
          <w:rFonts w:hint="eastAsia" w:ascii="宋体" w:hAnsi="宋体" w:cs="Courier New"/>
          <w:b/>
          <w:bCs/>
          <w:sz w:val="24"/>
          <w:szCs w:val="24"/>
        </w:rPr>
        <w:t>三、评分标准</w:t>
      </w:r>
    </w:p>
    <w:p>
      <w:pPr>
        <w:snapToGrid w:val="0"/>
        <w:spacing w:line="360" w:lineRule="auto"/>
        <w:ind w:firstLine="482" w:firstLineChars="200"/>
        <w:rPr>
          <w:rFonts w:ascii="宋体" w:hAnsi="宋体" w:cs="Courier New"/>
          <w:b/>
          <w:bCs/>
          <w:color w:val="FF0000"/>
          <w:sz w:val="24"/>
          <w:szCs w:val="24"/>
        </w:rPr>
      </w:pPr>
      <w:r>
        <w:rPr>
          <w:rFonts w:hint="eastAsia" w:ascii="宋体" w:hAnsi="宋体" w:cs="Courier New"/>
          <w:b/>
          <w:bCs/>
          <w:color w:val="FF0000"/>
          <w:sz w:val="24"/>
          <w:szCs w:val="24"/>
        </w:rPr>
        <w:t>（一）政府采购政策功能落实</w:t>
      </w:r>
    </w:p>
    <w:p>
      <w:pPr>
        <w:pStyle w:val="82"/>
        <w:spacing w:line="0" w:lineRule="atLeast"/>
        <w:ind w:firstLineChars="200"/>
        <w:rPr>
          <w:rFonts w:ascii="宋体" w:hAnsi="宋体"/>
          <w:kern w:val="2"/>
        </w:rPr>
      </w:pPr>
      <w:r>
        <w:rPr>
          <w:rFonts w:hint="eastAsia" w:ascii="宋体" w:hAnsi="宋体"/>
          <w:kern w:val="2"/>
        </w:rPr>
        <w:t>1、小微型企业价格扣除</w:t>
      </w:r>
    </w:p>
    <w:p>
      <w:pPr>
        <w:pStyle w:val="82"/>
        <w:spacing w:line="0" w:lineRule="atLeast"/>
        <w:ind w:firstLine="360" w:firstLineChars="150"/>
        <w:rPr>
          <w:rFonts w:ascii="宋体" w:hAnsi="宋体"/>
          <w:kern w:val="2"/>
        </w:rPr>
      </w:pPr>
      <w:r>
        <w:rPr>
          <w:rFonts w:hint="eastAsia" w:ascii="宋体" w:hAnsi="宋体"/>
          <w:kern w:val="2"/>
        </w:rPr>
        <w:t>（1）本项目对小型和微型企业产品给予10%的扣除价格，用扣除后的价格参与评审。</w:t>
      </w:r>
    </w:p>
    <w:p>
      <w:pPr>
        <w:pStyle w:val="82"/>
        <w:spacing w:line="0" w:lineRule="atLeast"/>
        <w:ind w:firstLine="360" w:firstLineChars="150"/>
        <w:rPr>
          <w:rFonts w:ascii="宋体" w:hAnsi="宋体"/>
          <w:kern w:val="2"/>
        </w:rPr>
      </w:pPr>
      <w:r>
        <w:rPr>
          <w:rFonts w:hint="eastAsia" w:ascii="宋体" w:hAnsi="宋体"/>
          <w:kern w:val="2"/>
        </w:rPr>
        <w:t>（2）供应商需按照采购文件的要求提供相应的《企业声明函》。</w:t>
      </w:r>
    </w:p>
    <w:p>
      <w:pPr>
        <w:pStyle w:val="82"/>
        <w:spacing w:line="0" w:lineRule="atLeast"/>
        <w:ind w:firstLine="360" w:firstLineChars="150"/>
        <w:rPr>
          <w:rFonts w:ascii="宋体" w:hAnsi="宋体"/>
          <w:kern w:val="2"/>
        </w:rPr>
      </w:pPr>
      <w:r>
        <w:rPr>
          <w:rFonts w:hint="eastAsia" w:ascii="宋体" w:hAnsi="宋体"/>
          <w:kern w:val="2"/>
        </w:rPr>
        <w:t>（3）企业标准请参照《关于印发中小企业划型标准规定的通知》（工信部联企业[2011]300号）文件规定自行填写。</w:t>
      </w:r>
    </w:p>
    <w:p>
      <w:pPr>
        <w:pStyle w:val="82"/>
        <w:spacing w:line="0" w:lineRule="atLeast"/>
        <w:ind w:firstLine="360" w:firstLineChars="150"/>
        <w:rPr>
          <w:rFonts w:ascii="宋体" w:hAnsi="宋体"/>
          <w:kern w:val="2"/>
        </w:rPr>
      </w:pPr>
      <w:r>
        <w:rPr>
          <w:rFonts w:hint="eastAsia" w:ascii="宋体" w:hAnsi="宋体"/>
          <w:kern w:val="2"/>
        </w:rPr>
        <w:t>（4）在货物采购项目中，供应商提供的货物既有中小企业制造货物，也有大型企业制造货物的，不享受本办法规定的中小企业扶持政策。</w:t>
      </w:r>
    </w:p>
    <w:p>
      <w:pPr>
        <w:pStyle w:val="82"/>
        <w:spacing w:line="0" w:lineRule="atLeast"/>
        <w:ind w:firstLineChars="200"/>
        <w:rPr>
          <w:rFonts w:ascii="宋体" w:hAnsi="宋体"/>
          <w:kern w:val="2"/>
        </w:rPr>
      </w:pPr>
      <w:r>
        <w:rPr>
          <w:rFonts w:hint="eastAsia" w:ascii="宋体" w:hAnsi="宋体"/>
          <w:kern w:val="2"/>
        </w:rPr>
        <w:t>2、残疾人福利单位价格扣除</w:t>
      </w:r>
    </w:p>
    <w:p>
      <w:pPr>
        <w:pStyle w:val="82"/>
        <w:spacing w:line="0" w:lineRule="atLeast"/>
        <w:ind w:left="120" w:leftChars="57" w:firstLine="360" w:firstLineChars="150"/>
        <w:rPr>
          <w:rFonts w:ascii="宋体" w:hAnsi="宋体"/>
          <w:kern w:val="2"/>
        </w:rPr>
      </w:pPr>
      <w:r>
        <w:rPr>
          <w:rFonts w:hint="eastAsia" w:ascii="宋体" w:hAnsi="宋体"/>
          <w:kern w:val="2"/>
        </w:rPr>
        <w:t>（1）本项目对残疾人福利性单位视同小型、微型企业，给予10%的价格扣除，用扣除后的价格参与评审。</w:t>
      </w:r>
    </w:p>
    <w:p>
      <w:pPr>
        <w:pStyle w:val="82"/>
        <w:spacing w:line="0" w:lineRule="atLeast"/>
        <w:ind w:left="120" w:leftChars="57" w:firstLine="360" w:firstLineChars="150"/>
        <w:rPr>
          <w:rFonts w:ascii="宋体" w:hAnsi="宋体"/>
          <w:kern w:val="2"/>
        </w:rPr>
      </w:pPr>
      <w:r>
        <w:rPr>
          <w:rFonts w:hint="eastAsia" w:ascii="宋体" w:hAnsi="宋体"/>
          <w:kern w:val="2"/>
        </w:rPr>
        <w:t>（2）残疾人福利单位标准请参照《关于促进残疾人就业政府采购政策的通知》（财库〔2017〕141号），需提供《残疾人福利性单位声明函》，格式自拟。</w:t>
      </w:r>
    </w:p>
    <w:p>
      <w:pPr>
        <w:pStyle w:val="82"/>
        <w:spacing w:line="0" w:lineRule="atLeast"/>
        <w:ind w:firstLineChars="200"/>
        <w:rPr>
          <w:rFonts w:ascii="宋体" w:hAnsi="宋体"/>
          <w:kern w:val="2"/>
        </w:rPr>
      </w:pPr>
      <w:r>
        <w:rPr>
          <w:rFonts w:hint="eastAsia" w:ascii="宋体" w:hAnsi="宋体"/>
          <w:kern w:val="2"/>
        </w:rPr>
        <w:t>3、监狱和戒毒企业价格扣除</w:t>
      </w:r>
    </w:p>
    <w:p>
      <w:pPr>
        <w:pStyle w:val="82"/>
        <w:spacing w:line="0" w:lineRule="atLeast"/>
        <w:ind w:firstLineChars="200"/>
        <w:rPr>
          <w:rFonts w:ascii="宋体" w:hAnsi="宋体"/>
          <w:kern w:val="2"/>
        </w:rPr>
      </w:pPr>
      <w:r>
        <w:rPr>
          <w:rFonts w:hint="eastAsia" w:ascii="宋体" w:hAnsi="宋体"/>
          <w:kern w:val="2"/>
        </w:rPr>
        <w:t>（1）本项目对监狱和戒毒企业（简称监狱企业）视同小型、微型企业，给予10%的价格扣除，用扣除后的价格参与评审。</w:t>
      </w:r>
    </w:p>
    <w:p>
      <w:pPr>
        <w:pStyle w:val="82"/>
        <w:spacing w:line="0" w:lineRule="atLeast"/>
        <w:ind w:firstLineChars="200"/>
        <w:rPr>
          <w:rFonts w:ascii="宋体" w:hAnsi="宋体"/>
          <w:kern w:val="2"/>
        </w:rPr>
      </w:pPr>
      <w:r>
        <w:rPr>
          <w:rFonts w:hint="eastAsia" w:ascii="宋体" w:hAnsi="宋体"/>
          <w:kern w:val="2"/>
        </w:rPr>
        <w:t>（2）监狱企业参加政府采购活动时，需提供由省级以上监狱管理局、戒毒管理局(含新疆生产建设兵团)出具的属于监狱企业的证明文件。</w:t>
      </w:r>
      <w:r>
        <w:rPr>
          <w:rFonts w:hint="eastAsia" w:ascii="宋体" w:hAnsi="宋体"/>
        </w:rPr>
        <w:t>供应商如不提供上述证明文件，价格将不做相应扣除</w:t>
      </w:r>
      <w:r>
        <w:rPr>
          <w:rFonts w:hint="eastAsia" w:ascii="宋体" w:hAnsi="宋体"/>
          <w:kern w:val="2"/>
        </w:rPr>
        <w:t>。</w:t>
      </w:r>
    </w:p>
    <w:p>
      <w:pPr>
        <w:pStyle w:val="82"/>
        <w:spacing w:line="0" w:lineRule="atLeast"/>
        <w:ind w:firstLineChars="200"/>
        <w:rPr>
          <w:rFonts w:ascii="宋体" w:hAnsi="宋体"/>
          <w:kern w:val="2"/>
        </w:rPr>
      </w:pPr>
      <w:r>
        <w:rPr>
          <w:rFonts w:hint="eastAsia" w:ascii="宋体" w:hAnsi="宋体"/>
          <w:kern w:val="2"/>
        </w:rPr>
        <w:t>（3）监狱企业标准请参照《关于政府采购支持监狱企业发展有关问题的通知》（</w:t>
      </w:r>
      <w:r>
        <w:rPr>
          <w:rFonts w:ascii="宋体" w:hAnsi="宋体"/>
          <w:kern w:val="2"/>
        </w:rPr>
        <w:t>财库[2014]68号</w:t>
      </w:r>
      <w:r>
        <w:rPr>
          <w:rFonts w:hint="eastAsia" w:ascii="宋体" w:hAnsi="宋体"/>
          <w:kern w:val="2"/>
        </w:rPr>
        <w:t>）。</w:t>
      </w:r>
    </w:p>
    <w:p>
      <w:pPr>
        <w:pStyle w:val="82"/>
        <w:spacing w:line="400" w:lineRule="exact"/>
        <w:ind w:firstLineChars="200"/>
        <w:rPr>
          <w:rFonts w:ascii="宋体" w:hAnsi="宋体"/>
          <w:kern w:val="2"/>
        </w:rPr>
      </w:pPr>
      <w:r>
        <w:rPr>
          <w:rFonts w:hint="eastAsia" w:ascii="宋体" w:hAnsi="宋体"/>
          <w:kern w:val="2"/>
        </w:rPr>
        <w:t>4、残疾人福利单位、监狱企业属于小型、微型企业的，不重复享受政策。</w:t>
      </w:r>
    </w:p>
    <w:p>
      <w:pPr>
        <w:snapToGrid w:val="0"/>
        <w:spacing w:line="360" w:lineRule="auto"/>
        <w:ind w:firstLine="480" w:firstLineChars="200"/>
        <w:rPr>
          <w:rFonts w:ascii="宋体" w:hAnsi="宋体" w:cs="Courier New"/>
          <w:bCs/>
          <w:sz w:val="24"/>
          <w:szCs w:val="24"/>
        </w:rPr>
      </w:pPr>
      <w:r>
        <w:rPr>
          <w:rFonts w:hint="eastAsia" w:ascii="宋体" w:hAnsi="宋体" w:cs="Courier New"/>
          <w:bCs/>
          <w:sz w:val="24"/>
          <w:szCs w:val="24"/>
        </w:rPr>
        <w:t>（二）本项目评分总分值为</w:t>
      </w:r>
      <w:r>
        <w:rPr>
          <w:rFonts w:ascii="宋体" w:hAnsi="宋体" w:cs="Courier New"/>
          <w:bCs/>
          <w:sz w:val="24"/>
          <w:szCs w:val="24"/>
        </w:rPr>
        <w:t>100</w:t>
      </w:r>
      <w:r>
        <w:rPr>
          <w:rFonts w:hint="eastAsia" w:ascii="宋体" w:hAnsi="宋体" w:cs="Courier New"/>
          <w:bCs/>
          <w:sz w:val="24"/>
          <w:szCs w:val="24"/>
        </w:rPr>
        <w:t>分。</w:t>
      </w:r>
    </w:p>
    <w:bookmarkEnd w:id="154"/>
    <w:bookmarkEnd w:id="155"/>
    <w:bookmarkEnd w:id="156"/>
    <w:p>
      <w:pPr>
        <w:rPr>
          <w:rFonts w:ascii="宋体" w:hAnsi="宋体" w:cs="宋体"/>
          <w:color w:val="000000"/>
          <w:sz w:val="24"/>
        </w:rPr>
      </w:pPr>
      <w:bookmarkStart w:id="157" w:name="_Toc120614282"/>
      <w:bookmarkStart w:id="158" w:name="_Toc49090576"/>
      <w:bookmarkStart w:id="159" w:name="_Toc26554094"/>
    </w:p>
    <w:tbl>
      <w:tblPr>
        <w:tblStyle w:val="40"/>
        <w:tblW w:w="507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916"/>
        <w:gridCol w:w="907"/>
        <w:gridCol w:w="2451"/>
        <w:gridCol w:w="53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4" w:hRule="atLeast"/>
          <w:jc w:val="center"/>
        </w:trPr>
        <w:tc>
          <w:tcPr>
            <w:tcW w:w="474" w:type="pct"/>
            <w:tcMar>
              <w:top w:w="57" w:type="dxa"/>
              <w:left w:w="57" w:type="dxa"/>
              <w:bottom w:w="57" w:type="dxa"/>
              <w:right w:w="57" w:type="dxa"/>
            </w:tcMar>
            <w:vAlign w:val="center"/>
          </w:tcPr>
          <w:p>
            <w:pPr>
              <w:adjustRightInd w:val="0"/>
              <w:snapToGrid w:val="0"/>
              <w:ind w:firstLine="420" w:firstLineChars="0"/>
              <w:jc w:val="center"/>
              <w:rPr>
                <w:rFonts w:hint="eastAsia" w:ascii="Times New Roman" w:hAnsi="Times New Roman" w:eastAsia="宋体" w:cs="Times New Roman"/>
                <w:kern w:val="2"/>
                <w:sz w:val="21"/>
                <w:szCs w:val="21"/>
                <w:lang w:val="en-US" w:eastAsia="zh-CN" w:bidi="ar-SA"/>
              </w:rPr>
            </w:pPr>
            <w:r>
              <w:rPr>
                <w:rFonts w:hint="eastAsia"/>
                <w:lang w:val="en-US" w:eastAsia="zh-CN"/>
              </w:rPr>
              <w:t>1</w:t>
            </w:r>
          </w:p>
        </w:tc>
        <w:tc>
          <w:tcPr>
            <w:tcW w:w="469" w:type="pct"/>
            <w:tcMar>
              <w:top w:w="57" w:type="dxa"/>
              <w:left w:w="57" w:type="dxa"/>
              <w:bottom w:w="57" w:type="dxa"/>
              <w:right w:w="57" w:type="dxa"/>
            </w:tcMar>
            <w:vAlign w:val="center"/>
          </w:tcPr>
          <w:p>
            <w:pPr>
              <w:adjustRightInd w:val="0"/>
              <w:snapToGrid w:val="0"/>
            </w:pPr>
            <w:r>
              <w:t>投标报价评分标准</w:t>
            </w:r>
          </w:p>
          <w:p>
            <w:pPr>
              <w:adjustRightInd w:val="0"/>
              <w:snapToGrid w:val="0"/>
              <w:rPr>
                <w:rFonts w:ascii="Times New Roman" w:hAnsi="Times New Roman" w:eastAsia="宋体" w:cs="Times New Roman"/>
                <w:kern w:val="2"/>
                <w:sz w:val="21"/>
                <w:szCs w:val="21"/>
                <w:lang w:val="en-US" w:eastAsia="zh-CN" w:bidi="ar-SA"/>
              </w:rPr>
            </w:pPr>
            <w:r>
              <w:t>（</w:t>
            </w:r>
            <w:r>
              <w:rPr>
                <w:rFonts w:hint="eastAsia"/>
              </w:rPr>
              <w:t>1</w:t>
            </w:r>
            <w:r>
              <w:t>0分）</w:t>
            </w:r>
          </w:p>
        </w:tc>
        <w:tc>
          <w:tcPr>
            <w:tcW w:w="1267" w:type="pct"/>
            <w:tcMar>
              <w:top w:w="57" w:type="dxa"/>
              <w:left w:w="57" w:type="dxa"/>
              <w:bottom w:w="57" w:type="dxa"/>
              <w:right w:w="57" w:type="dxa"/>
            </w:tcMar>
            <w:vAlign w:val="center"/>
          </w:tcPr>
          <w:p>
            <w:pPr>
              <w:adjustRightInd w:val="0"/>
              <w:snapToGrid w:val="0"/>
              <w:jc w:val="center"/>
            </w:pPr>
            <w:r>
              <w:t>投标报价</w:t>
            </w:r>
          </w:p>
          <w:p>
            <w:pPr>
              <w:adjustRightInd w:val="0"/>
              <w:snapToGrid w:val="0"/>
              <w:jc w:val="center"/>
              <w:rPr>
                <w:rFonts w:hint="eastAsia" w:ascii="Times New Roman" w:hAnsi="Times New Roman" w:eastAsia="宋体" w:cs="Times New Roman"/>
                <w:kern w:val="2"/>
                <w:sz w:val="21"/>
                <w:szCs w:val="21"/>
                <w:lang w:val="en-US" w:eastAsia="zh-CN" w:bidi="ar-SA"/>
              </w:rPr>
            </w:pPr>
            <w:r>
              <w:t>（</w:t>
            </w:r>
            <w:r>
              <w:rPr>
                <w:rFonts w:hint="eastAsia"/>
              </w:rPr>
              <w:t>1</w:t>
            </w:r>
            <w:r>
              <w:t>0分）</w:t>
            </w:r>
          </w:p>
        </w:tc>
        <w:tc>
          <w:tcPr>
            <w:tcW w:w="2788" w:type="pct"/>
            <w:tcMar>
              <w:top w:w="57" w:type="dxa"/>
              <w:left w:w="57" w:type="dxa"/>
              <w:bottom w:w="57" w:type="dxa"/>
              <w:right w:w="57" w:type="dxa"/>
            </w:tcMar>
            <w:vAlign w:val="center"/>
          </w:tcPr>
          <w:p>
            <w:pPr>
              <w:snapToGrid w:val="0"/>
              <w:spacing w:line="400" w:lineRule="exact"/>
              <w:ind w:firstLine="480" w:firstLineChars="200"/>
              <w:rPr>
                <w:rFonts w:ascii="宋体" w:hAnsi="宋体"/>
                <w:sz w:val="24"/>
                <w:szCs w:val="24"/>
              </w:rPr>
            </w:pPr>
            <w:r>
              <w:rPr>
                <w:rFonts w:hint="eastAsia" w:ascii="宋体" w:hAnsi="宋体"/>
                <w:sz w:val="24"/>
                <w:szCs w:val="24"/>
              </w:rPr>
              <w:t>满足招标文件要求且投标价格最低的投标报价为评标基准价，其价格分为满分。其他投标人的价格分统一按照下列公式计算：</w:t>
            </w:r>
          </w:p>
          <w:p>
            <w:pPr>
              <w:adjustRightInd w:val="0"/>
              <w:snapToGrid w:val="0"/>
              <w:ind w:firstLine="420" w:firstLineChars="0"/>
              <w:rPr>
                <w:rFonts w:hint="eastAsia" w:ascii="Times New Roman" w:hAnsi="Times New Roman" w:eastAsia="宋体" w:cs="Times New Roman"/>
                <w:kern w:val="2"/>
                <w:sz w:val="21"/>
                <w:szCs w:val="21"/>
                <w:lang w:val="en-US" w:eastAsia="zh-CN" w:bidi="ar-SA"/>
              </w:rPr>
            </w:pPr>
            <w:r>
              <w:rPr>
                <w:rFonts w:hint="eastAsia" w:ascii="宋体" w:hAnsi="宋体"/>
                <w:sz w:val="24"/>
                <w:szCs w:val="24"/>
              </w:rPr>
              <w:t>投标报价得分=(评标基准价／投标报价)×10 （该结果四舍五入，保留两位小数）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4" w:type="pct"/>
            <w:vMerge w:val="restart"/>
            <w:tcMar>
              <w:top w:w="57" w:type="dxa"/>
              <w:left w:w="57" w:type="dxa"/>
              <w:bottom w:w="57" w:type="dxa"/>
              <w:right w:w="57" w:type="dxa"/>
            </w:tcMar>
            <w:vAlign w:val="center"/>
          </w:tcPr>
          <w:p>
            <w:pPr>
              <w:adjustRightInd w:val="0"/>
              <w:snapToGrid w:val="0"/>
              <w:jc w:val="center"/>
              <w:rPr>
                <w:rFonts w:hint="eastAsia" w:eastAsia="宋体"/>
                <w:lang w:eastAsia="zh-CN"/>
              </w:rPr>
            </w:pPr>
            <w:r>
              <w:rPr>
                <w:rFonts w:hint="eastAsia"/>
                <w:lang w:val="en-US" w:eastAsia="zh-CN"/>
              </w:rPr>
              <w:t>2</w:t>
            </w:r>
          </w:p>
        </w:tc>
        <w:tc>
          <w:tcPr>
            <w:tcW w:w="469" w:type="pct"/>
            <w:vMerge w:val="restart"/>
            <w:tcMar>
              <w:top w:w="57" w:type="dxa"/>
              <w:left w:w="57" w:type="dxa"/>
              <w:bottom w:w="57" w:type="dxa"/>
              <w:right w:w="57" w:type="dxa"/>
            </w:tcMar>
            <w:vAlign w:val="center"/>
          </w:tcPr>
          <w:p>
            <w:pPr>
              <w:adjustRightInd w:val="0"/>
              <w:snapToGrid w:val="0"/>
            </w:pPr>
            <w:r>
              <w:t>商务部分评分标准</w:t>
            </w:r>
          </w:p>
          <w:p>
            <w:pPr>
              <w:adjustRightInd w:val="0"/>
              <w:snapToGrid w:val="0"/>
            </w:pPr>
            <w:r>
              <w:t>（</w:t>
            </w:r>
            <w:r>
              <w:rPr>
                <w:rFonts w:hint="eastAsia"/>
                <w:lang w:val="en-US" w:eastAsia="zh-CN"/>
              </w:rPr>
              <w:t>4</w:t>
            </w:r>
            <w:r>
              <w:t>9分）</w:t>
            </w:r>
          </w:p>
        </w:tc>
        <w:tc>
          <w:tcPr>
            <w:tcW w:w="1267" w:type="pct"/>
            <w:tcMar>
              <w:top w:w="57" w:type="dxa"/>
              <w:left w:w="57" w:type="dxa"/>
              <w:bottom w:w="57" w:type="dxa"/>
              <w:right w:w="57" w:type="dxa"/>
            </w:tcMar>
            <w:vAlign w:val="center"/>
          </w:tcPr>
          <w:p>
            <w:pPr>
              <w:widowControl/>
              <w:adjustRightInd w:val="0"/>
              <w:snapToGrid w:val="0"/>
              <w:jc w:val="center"/>
              <w:textAlignment w:val="center"/>
            </w:pPr>
            <w:r>
              <w:t>ISO体系认证证书</w:t>
            </w:r>
          </w:p>
          <w:p>
            <w:pPr>
              <w:widowControl/>
              <w:adjustRightInd w:val="0"/>
              <w:snapToGrid w:val="0"/>
              <w:jc w:val="center"/>
              <w:textAlignment w:val="center"/>
            </w:pPr>
            <w:r>
              <w:t>（3分）</w:t>
            </w:r>
          </w:p>
        </w:tc>
        <w:tc>
          <w:tcPr>
            <w:tcW w:w="2788" w:type="pct"/>
            <w:tcMar>
              <w:top w:w="57" w:type="dxa"/>
              <w:left w:w="57" w:type="dxa"/>
              <w:bottom w:w="57" w:type="dxa"/>
              <w:right w:w="57" w:type="dxa"/>
            </w:tcMar>
            <w:vAlign w:val="center"/>
          </w:tcPr>
          <w:p>
            <w:pPr>
              <w:numPr>
                <w:ilvl w:val="0"/>
                <w:numId w:val="4"/>
              </w:numPr>
              <w:adjustRightInd w:val="0"/>
              <w:snapToGrid w:val="0"/>
            </w:pPr>
            <w:r>
              <w:t>具有ISO9001质量管理体系认证证书；</w:t>
            </w:r>
          </w:p>
          <w:p>
            <w:pPr>
              <w:numPr>
                <w:ilvl w:val="0"/>
                <w:numId w:val="0"/>
              </w:numPr>
              <w:adjustRightInd w:val="0"/>
              <w:snapToGrid w:val="0"/>
            </w:pPr>
            <w:r>
              <w:t>（2）具有ISO45001职业健康管理体系认证证书；</w:t>
            </w:r>
          </w:p>
          <w:p>
            <w:pPr>
              <w:adjustRightInd w:val="0"/>
              <w:snapToGrid w:val="0"/>
            </w:pPr>
            <w:r>
              <w:t>（3）具有ISO14001环境管理体系认证证书；</w:t>
            </w:r>
          </w:p>
          <w:p>
            <w:pPr>
              <w:adjustRightInd w:val="0"/>
              <w:snapToGrid w:val="0"/>
            </w:pPr>
            <w:r>
              <w:t>三项</w:t>
            </w:r>
            <w:r>
              <w:rPr>
                <w:rFonts w:hint="eastAsia"/>
              </w:rPr>
              <w:t>全部</w:t>
            </w:r>
            <w:r>
              <w:t>拥有</w:t>
            </w:r>
            <w:r>
              <w:rPr>
                <w:rFonts w:hint="eastAsia"/>
              </w:rPr>
              <w:t>，</w:t>
            </w:r>
            <w:r>
              <w:t>且在有效期内</w:t>
            </w:r>
            <w:r>
              <w:rPr>
                <w:rFonts w:hint="eastAsia"/>
              </w:rPr>
              <w:t>，</w:t>
            </w:r>
            <w:r>
              <w:t>得</w:t>
            </w:r>
            <w:r>
              <w:rPr>
                <w:rFonts w:hint="eastAsia"/>
              </w:rPr>
              <w:t>3分，缺项或无，不得分</w:t>
            </w:r>
            <w:r>
              <w:t>。</w:t>
            </w:r>
          </w:p>
          <w:p>
            <w:pPr>
              <w:adjustRightInd w:val="0"/>
              <w:snapToGrid w:val="0"/>
            </w:pPr>
            <w:r>
              <w:t>注：证书须在有效期内，否则不得分。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4" w:type="pct"/>
            <w:vMerge w:val="continue"/>
            <w:tcMar>
              <w:top w:w="57" w:type="dxa"/>
              <w:left w:w="57" w:type="dxa"/>
              <w:bottom w:w="57" w:type="dxa"/>
              <w:right w:w="57" w:type="dxa"/>
            </w:tcMar>
            <w:vAlign w:val="center"/>
          </w:tcPr>
          <w:p>
            <w:pPr>
              <w:adjustRightInd w:val="0"/>
              <w:snapToGrid w:val="0"/>
              <w:ind w:firstLine="420" w:firstLineChars="200"/>
              <w:jc w:val="center"/>
            </w:pPr>
          </w:p>
        </w:tc>
        <w:tc>
          <w:tcPr>
            <w:tcW w:w="469" w:type="pct"/>
            <w:vMerge w:val="continue"/>
            <w:tcMar>
              <w:top w:w="57" w:type="dxa"/>
              <w:left w:w="57" w:type="dxa"/>
              <w:bottom w:w="57" w:type="dxa"/>
              <w:right w:w="57" w:type="dxa"/>
            </w:tcMar>
            <w:vAlign w:val="center"/>
          </w:tcPr>
          <w:p>
            <w:pPr>
              <w:adjustRightInd w:val="0"/>
              <w:snapToGrid w:val="0"/>
              <w:ind w:firstLine="420"/>
              <w:jc w:val="center"/>
            </w:pPr>
          </w:p>
        </w:tc>
        <w:tc>
          <w:tcPr>
            <w:tcW w:w="1267" w:type="pct"/>
            <w:tcMar>
              <w:top w:w="57" w:type="dxa"/>
              <w:left w:w="57" w:type="dxa"/>
              <w:bottom w:w="57" w:type="dxa"/>
              <w:right w:w="57" w:type="dxa"/>
            </w:tcMar>
            <w:vAlign w:val="center"/>
          </w:tcPr>
          <w:p>
            <w:pPr>
              <w:widowControl/>
              <w:adjustRightInd w:val="0"/>
              <w:snapToGrid w:val="0"/>
              <w:jc w:val="center"/>
              <w:textAlignment w:val="center"/>
            </w:pPr>
            <w:r>
              <w:rPr>
                <w:rFonts w:hint="eastAsia"/>
              </w:rPr>
              <w:t>高新企业证书</w:t>
            </w:r>
          </w:p>
          <w:p>
            <w:pPr>
              <w:widowControl/>
              <w:adjustRightInd w:val="0"/>
              <w:snapToGrid w:val="0"/>
              <w:jc w:val="center"/>
              <w:textAlignment w:val="center"/>
            </w:pPr>
            <w:r>
              <w:rPr>
                <w:rFonts w:hint="eastAsia"/>
              </w:rPr>
              <w:t>（2分）</w:t>
            </w:r>
          </w:p>
        </w:tc>
        <w:tc>
          <w:tcPr>
            <w:tcW w:w="2788" w:type="pct"/>
            <w:tcMar>
              <w:top w:w="57" w:type="dxa"/>
              <w:left w:w="57" w:type="dxa"/>
              <w:bottom w:w="57" w:type="dxa"/>
              <w:right w:w="57" w:type="dxa"/>
            </w:tcMar>
            <w:vAlign w:val="center"/>
          </w:tcPr>
          <w:p>
            <w:pPr>
              <w:adjustRightInd w:val="0"/>
              <w:snapToGrid w:val="0"/>
            </w:pPr>
            <w:r>
              <w:rPr>
                <w:rFonts w:hint="eastAsia"/>
              </w:rPr>
              <w:t>投标人提供高新企业证书的得2分，没有不得分；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4" w:type="pct"/>
            <w:vMerge w:val="continue"/>
            <w:tcMar>
              <w:top w:w="57" w:type="dxa"/>
              <w:left w:w="57" w:type="dxa"/>
              <w:bottom w:w="57" w:type="dxa"/>
              <w:right w:w="57" w:type="dxa"/>
            </w:tcMar>
            <w:vAlign w:val="center"/>
          </w:tcPr>
          <w:p>
            <w:pPr>
              <w:adjustRightInd w:val="0"/>
              <w:snapToGrid w:val="0"/>
              <w:ind w:firstLine="420" w:firstLineChars="200"/>
              <w:jc w:val="center"/>
            </w:pPr>
          </w:p>
        </w:tc>
        <w:tc>
          <w:tcPr>
            <w:tcW w:w="469" w:type="pct"/>
            <w:vMerge w:val="continue"/>
            <w:tcMar>
              <w:top w:w="57" w:type="dxa"/>
              <w:left w:w="57" w:type="dxa"/>
              <w:bottom w:w="57" w:type="dxa"/>
              <w:right w:w="57" w:type="dxa"/>
            </w:tcMar>
            <w:vAlign w:val="center"/>
          </w:tcPr>
          <w:p>
            <w:pPr>
              <w:adjustRightInd w:val="0"/>
              <w:snapToGrid w:val="0"/>
              <w:ind w:firstLine="420" w:firstLineChars="200"/>
              <w:jc w:val="center"/>
            </w:pPr>
          </w:p>
        </w:tc>
        <w:tc>
          <w:tcPr>
            <w:tcW w:w="1267" w:type="pct"/>
            <w:tcMar>
              <w:top w:w="57" w:type="dxa"/>
              <w:left w:w="57" w:type="dxa"/>
              <w:bottom w:w="57" w:type="dxa"/>
              <w:right w:w="57" w:type="dxa"/>
            </w:tcMar>
            <w:vAlign w:val="center"/>
          </w:tcPr>
          <w:p>
            <w:pPr>
              <w:widowControl/>
              <w:adjustRightInd w:val="0"/>
              <w:snapToGrid w:val="0"/>
              <w:jc w:val="center"/>
              <w:textAlignment w:val="center"/>
            </w:pPr>
            <w:r>
              <w:t>企业信用等级证书</w:t>
            </w:r>
          </w:p>
          <w:p>
            <w:pPr>
              <w:widowControl/>
              <w:adjustRightInd w:val="0"/>
              <w:snapToGrid w:val="0"/>
              <w:jc w:val="center"/>
              <w:textAlignment w:val="center"/>
            </w:pPr>
            <w:r>
              <w:t>（3分）</w:t>
            </w:r>
          </w:p>
        </w:tc>
        <w:tc>
          <w:tcPr>
            <w:tcW w:w="2788" w:type="pct"/>
            <w:tcMar>
              <w:top w:w="57" w:type="dxa"/>
              <w:left w:w="57" w:type="dxa"/>
              <w:bottom w:w="57" w:type="dxa"/>
              <w:right w:w="57" w:type="dxa"/>
            </w:tcMar>
            <w:vAlign w:val="center"/>
          </w:tcPr>
          <w:p>
            <w:pPr>
              <w:adjustRightInd w:val="0"/>
              <w:snapToGrid w:val="0"/>
            </w:pPr>
            <w:r>
              <w:t>（1）投标人提供信用证书等级为A级的，得1分；</w:t>
            </w:r>
          </w:p>
          <w:p>
            <w:pPr>
              <w:adjustRightInd w:val="0"/>
              <w:snapToGrid w:val="0"/>
            </w:pPr>
            <w:r>
              <w:t>（2）投标人提供信用证书等级为AA级的，得2分；</w:t>
            </w:r>
          </w:p>
          <w:p>
            <w:pPr>
              <w:adjustRightInd w:val="0"/>
              <w:snapToGrid w:val="0"/>
            </w:pPr>
            <w:r>
              <w:t>（3）投标人提供信用证书等级为AAA级的，得3分；</w:t>
            </w:r>
          </w:p>
          <w:p>
            <w:pPr>
              <w:adjustRightInd w:val="0"/>
              <w:snapToGrid w:val="0"/>
              <w:rPr>
                <w:lang w:val="en-US" w:eastAsia="zh-CN"/>
              </w:rPr>
            </w:pPr>
            <w:r>
              <w:rPr>
                <w:b/>
                <w:bCs/>
              </w:rPr>
              <w:t>（注：证书须在有效期内，否则不得分）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6" w:hRule="atLeast"/>
          <w:jc w:val="center"/>
        </w:trPr>
        <w:tc>
          <w:tcPr>
            <w:tcW w:w="474" w:type="pct"/>
            <w:vMerge w:val="continue"/>
            <w:tcMar>
              <w:top w:w="57" w:type="dxa"/>
              <w:left w:w="57" w:type="dxa"/>
              <w:bottom w:w="57" w:type="dxa"/>
              <w:right w:w="57" w:type="dxa"/>
            </w:tcMar>
            <w:vAlign w:val="center"/>
          </w:tcPr>
          <w:p>
            <w:pPr>
              <w:adjustRightInd w:val="0"/>
              <w:snapToGrid w:val="0"/>
              <w:ind w:firstLine="420" w:firstLineChars="200"/>
              <w:jc w:val="center"/>
            </w:pPr>
          </w:p>
        </w:tc>
        <w:tc>
          <w:tcPr>
            <w:tcW w:w="469" w:type="pct"/>
            <w:vMerge w:val="continue"/>
            <w:tcMar>
              <w:top w:w="57" w:type="dxa"/>
              <w:left w:w="57" w:type="dxa"/>
              <w:bottom w:w="57" w:type="dxa"/>
              <w:right w:w="57" w:type="dxa"/>
            </w:tcMar>
            <w:vAlign w:val="center"/>
          </w:tcPr>
          <w:p>
            <w:pPr>
              <w:adjustRightInd w:val="0"/>
              <w:snapToGrid w:val="0"/>
              <w:ind w:firstLine="420" w:firstLineChars="200"/>
              <w:jc w:val="center"/>
            </w:pPr>
          </w:p>
        </w:tc>
        <w:tc>
          <w:tcPr>
            <w:tcW w:w="1267" w:type="pct"/>
            <w:tcMar>
              <w:top w:w="57" w:type="dxa"/>
              <w:left w:w="57" w:type="dxa"/>
              <w:bottom w:w="57" w:type="dxa"/>
              <w:right w:w="57" w:type="dxa"/>
            </w:tcMar>
            <w:vAlign w:val="center"/>
          </w:tcPr>
          <w:p>
            <w:pPr>
              <w:widowControl/>
              <w:adjustRightInd w:val="0"/>
              <w:snapToGrid w:val="0"/>
              <w:jc w:val="center"/>
              <w:textAlignment w:val="center"/>
            </w:pPr>
            <w:r>
              <w:t>类似项目业绩</w:t>
            </w:r>
          </w:p>
          <w:p>
            <w:pPr>
              <w:widowControl/>
              <w:adjustRightInd w:val="0"/>
              <w:snapToGrid w:val="0"/>
              <w:jc w:val="center"/>
              <w:textAlignment w:val="center"/>
            </w:pPr>
            <w:r>
              <w:t>（</w:t>
            </w:r>
            <w:r>
              <w:rPr>
                <w:rFonts w:hint="eastAsia"/>
              </w:rPr>
              <w:t>1</w:t>
            </w:r>
            <w:r>
              <w:t>2分）</w:t>
            </w:r>
          </w:p>
        </w:tc>
        <w:tc>
          <w:tcPr>
            <w:tcW w:w="2788" w:type="pct"/>
            <w:tcMar>
              <w:top w:w="57" w:type="dxa"/>
              <w:left w:w="57" w:type="dxa"/>
              <w:bottom w:w="57" w:type="dxa"/>
              <w:right w:w="57" w:type="dxa"/>
            </w:tcMar>
            <w:vAlign w:val="center"/>
          </w:tcPr>
          <w:p>
            <w:pPr>
              <w:adjustRightInd w:val="0"/>
              <w:snapToGrid w:val="0"/>
            </w:pPr>
            <w:r>
              <w:t>投标人提供近</w:t>
            </w:r>
            <w:r>
              <w:rPr>
                <w:rFonts w:hint="eastAsia"/>
              </w:rPr>
              <w:t>5</w:t>
            </w:r>
            <w:r>
              <w:t>年（2016年</w:t>
            </w:r>
            <w:r>
              <w:rPr>
                <w:rFonts w:hint="eastAsia"/>
              </w:rPr>
              <w:t>1</w:t>
            </w:r>
            <w:r>
              <w:t>0月至今）承担</w:t>
            </w:r>
            <w:r>
              <w:rPr>
                <w:rFonts w:hint="eastAsia"/>
              </w:rPr>
              <w:t>过的：</w:t>
            </w:r>
          </w:p>
          <w:p>
            <w:pPr>
              <w:adjustRightInd w:val="0"/>
              <w:snapToGrid w:val="0"/>
            </w:pPr>
            <w:r>
              <w:rPr>
                <w:rFonts w:hint="eastAsia"/>
              </w:rPr>
              <w:t>（1）水利类区域规划或区域评估</w:t>
            </w:r>
            <w:r>
              <w:t>业绩，每提供1个，得</w:t>
            </w:r>
            <w:r>
              <w:rPr>
                <w:rFonts w:hint="eastAsia"/>
              </w:rPr>
              <w:t>2</w:t>
            </w:r>
            <w:r>
              <w:t>分，最多得</w:t>
            </w:r>
            <w:r>
              <w:rPr>
                <w:rFonts w:hint="eastAsia"/>
              </w:rPr>
              <w:t>6</w:t>
            </w:r>
            <w:r>
              <w:t>分。</w:t>
            </w:r>
          </w:p>
          <w:p>
            <w:pPr>
              <w:adjustRightInd w:val="0"/>
              <w:snapToGrid w:val="0"/>
            </w:pPr>
            <w:r>
              <w:rPr>
                <w:rFonts w:hint="eastAsia"/>
              </w:rPr>
              <w:t>（2）区域类水资源论证业绩：</w:t>
            </w:r>
            <w:r>
              <w:t>每提供1个，得</w:t>
            </w:r>
            <w:r>
              <w:rPr>
                <w:rFonts w:hint="eastAsia"/>
              </w:rPr>
              <w:t>1</w:t>
            </w:r>
            <w:r>
              <w:t>.5分，最多得</w:t>
            </w:r>
            <w:r>
              <w:rPr>
                <w:rFonts w:hint="eastAsia"/>
              </w:rPr>
              <w:t>6</w:t>
            </w:r>
            <w:r>
              <w:t>分。</w:t>
            </w:r>
          </w:p>
          <w:p>
            <w:pPr>
              <w:adjustRightInd w:val="0"/>
              <w:snapToGrid w:val="0"/>
              <w:rPr>
                <w:rFonts w:ascii="Times New Roman" w:hAnsi="Times New Roman" w:eastAsia="宋体" w:cs="Times New Roman"/>
                <w:sz w:val="21"/>
                <w:szCs w:val="21"/>
              </w:rPr>
            </w:pPr>
            <w:r>
              <w:t>注：须提供业绩的中标通知书或合同协议书或委托人出具的证明文件</w:t>
            </w:r>
            <w:r>
              <w:rPr>
                <w:rFonts w:hint="eastAsia"/>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4" w:type="pct"/>
            <w:vMerge w:val="continue"/>
            <w:tcMar>
              <w:top w:w="57" w:type="dxa"/>
              <w:left w:w="57" w:type="dxa"/>
              <w:bottom w:w="57" w:type="dxa"/>
              <w:right w:w="57" w:type="dxa"/>
            </w:tcMar>
            <w:vAlign w:val="center"/>
          </w:tcPr>
          <w:p>
            <w:pPr>
              <w:adjustRightInd w:val="0"/>
              <w:snapToGrid w:val="0"/>
              <w:ind w:firstLine="420"/>
              <w:jc w:val="center"/>
            </w:pPr>
          </w:p>
        </w:tc>
        <w:tc>
          <w:tcPr>
            <w:tcW w:w="469" w:type="pct"/>
            <w:vMerge w:val="continue"/>
            <w:tcMar>
              <w:top w:w="57" w:type="dxa"/>
              <w:left w:w="57" w:type="dxa"/>
              <w:bottom w:w="57" w:type="dxa"/>
              <w:right w:w="57" w:type="dxa"/>
            </w:tcMar>
            <w:vAlign w:val="center"/>
          </w:tcPr>
          <w:p>
            <w:pPr>
              <w:adjustRightInd w:val="0"/>
              <w:snapToGrid w:val="0"/>
              <w:ind w:firstLine="420"/>
              <w:jc w:val="center"/>
            </w:pPr>
          </w:p>
        </w:tc>
        <w:tc>
          <w:tcPr>
            <w:tcW w:w="1267" w:type="pct"/>
            <w:tcMar>
              <w:top w:w="57" w:type="dxa"/>
              <w:left w:w="57" w:type="dxa"/>
              <w:bottom w:w="57" w:type="dxa"/>
              <w:right w:w="57" w:type="dxa"/>
            </w:tcMar>
            <w:vAlign w:val="center"/>
          </w:tcPr>
          <w:p>
            <w:pPr>
              <w:adjustRightInd w:val="0"/>
              <w:snapToGrid w:val="0"/>
              <w:jc w:val="center"/>
            </w:pPr>
            <w:r>
              <w:t>项目负责人</w:t>
            </w:r>
          </w:p>
          <w:p>
            <w:pPr>
              <w:adjustRightInd w:val="0"/>
              <w:snapToGrid w:val="0"/>
              <w:jc w:val="center"/>
            </w:pPr>
            <w:r>
              <w:t>（</w:t>
            </w:r>
            <w:r>
              <w:rPr>
                <w:rFonts w:hint="eastAsia"/>
              </w:rPr>
              <w:t>9</w:t>
            </w:r>
            <w:r>
              <w:t>分）</w:t>
            </w:r>
          </w:p>
        </w:tc>
        <w:tc>
          <w:tcPr>
            <w:tcW w:w="2788" w:type="pct"/>
            <w:tcMar>
              <w:top w:w="57" w:type="dxa"/>
              <w:left w:w="57" w:type="dxa"/>
              <w:bottom w:w="57" w:type="dxa"/>
              <w:right w:w="57" w:type="dxa"/>
            </w:tcMar>
            <w:vAlign w:val="center"/>
          </w:tcPr>
          <w:p>
            <w:pPr>
              <w:adjustRightInd w:val="0"/>
              <w:snapToGrid w:val="0"/>
            </w:pPr>
            <w:r>
              <w:rPr>
                <w:rFonts w:hint="eastAsia"/>
              </w:rPr>
              <w:t>项目负责人：</w:t>
            </w:r>
          </w:p>
          <w:p>
            <w:pPr>
              <w:adjustRightInd w:val="0"/>
              <w:snapToGrid w:val="0"/>
            </w:pPr>
            <w:r>
              <w:rPr>
                <w:rFonts w:hint="eastAsia"/>
              </w:rPr>
              <w:t>（1）学历为全日制博士得</w:t>
            </w:r>
            <w:r>
              <w:rPr>
                <w:rFonts w:hint="eastAsia" w:asciiTheme="minorEastAsia" w:hAnsiTheme="minorEastAsia"/>
              </w:rPr>
              <w:t>3</w:t>
            </w:r>
            <w:r>
              <w:rPr>
                <w:rFonts w:hint="eastAsia"/>
              </w:rPr>
              <w:t>分；全日制硕士得</w:t>
            </w:r>
            <w:r>
              <w:t>2</w:t>
            </w:r>
            <w:r>
              <w:rPr>
                <w:rFonts w:hint="eastAsia"/>
              </w:rPr>
              <w:t>分；全日制本科得</w:t>
            </w:r>
            <w:r>
              <w:t>1</w:t>
            </w:r>
            <w:r>
              <w:rPr>
                <w:rFonts w:hint="eastAsia"/>
              </w:rPr>
              <w:t>分，本科以下不得分。</w:t>
            </w:r>
          </w:p>
          <w:p>
            <w:pPr>
              <w:adjustRightInd w:val="0"/>
              <w:snapToGrid w:val="0"/>
            </w:pPr>
            <w:r>
              <w:rPr>
                <w:rFonts w:hint="eastAsia"/>
              </w:rPr>
              <w:t>（2）具有水利专业高级工程师的得</w:t>
            </w:r>
            <w:r>
              <w:rPr>
                <w:rFonts w:hint="eastAsia" w:asciiTheme="minorEastAsia" w:hAnsiTheme="minorEastAsia"/>
              </w:rPr>
              <w:t>3</w:t>
            </w:r>
            <w:r>
              <w:rPr>
                <w:rFonts w:hint="eastAsia"/>
              </w:rPr>
              <w:t>分，中级职称的得</w:t>
            </w:r>
            <w:r>
              <w:t>2</w:t>
            </w:r>
            <w:r>
              <w:rPr>
                <w:rFonts w:hint="eastAsia"/>
              </w:rPr>
              <w:t>分，中级职称以下不得分。</w:t>
            </w:r>
          </w:p>
          <w:p>
            <w:pPr>
              <w:adjustRightInd w:val="0"/>
              <w:snapToGrid w:val="0"/>
              <w:rPr>
                <w:rFonts w:hint="eastAsia" w:eastAsia="宋体"/>
                <w:lang w:eastAsia="zh-CN"/>
              </w:rPr>
            </w:pPr>
            <w:r>
              <w:rPr>
                <w:rFonts w:hint="eastAsia"/>
              </w:rPr>
              <w:t>（3）项目负责人为省（市）级专家，且专业包含地下水专业得2分；</w:t>
            </w:r>
            <w:r>
              <w:rPr>
                <w:rFonts w:hint="eastAsia"/>
                <w:lang w:eastAsia="zh-CN"/>
              </w:rPr>
              <w:t>（</w:t>
            </w:r>
            <w:r>
              <w:rPr>
                <w:rFonts w:hint="eastAsia"/>
                <w:lang w:val="en-US" w:eastAsia="zh-CN"/>
              </w:rPr>
              <w:t>以专家证为准</w:t>
            </w:r>
            <w:r>
              <w:rPr>
                <w:rFonts w:hint="eastAsia"/>
                <w:lang w:eastAsia="zh-CN"/>
              </w:rPr>
              <w:t>）</w:t>
            </w:r>
          </w:p>
          <w:p>
            <w:pPr>
              <w:adjustRightInd w:val="0"/>
              <w:snapToGrid w:val="0"/>
            </w:pPr>
            <w:r>
              <w:rPr>
                <w:rFonts w:hint="eastAsia"/>
              </w:rPr>
              <w:t>（4）具有工程师（水利或相关专业）证件且在有效期内的，得1分。</w:t>
            </w:r>
          </w:p>
          <w:p>
            <w:pPr>
              <w:adjustRightInd w:val="0"/>
              <w:snapToGrid w:val="0"/>
              <w:ind w:firstLine="420"/>
            </w:pPr>
            <w:r>
              <w:rPr>
                <w:rFonts w:hint="eastAsia"/>
              </w:rPr>
              <w:t>注：需提供该项目负责人在本单位近半年的社保证明，如不提供或不足半年，则该项不得分。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4" w:type="pct"/>
            <w:vMerge w:val="continue"/>
            <w:tcMar>
              <w:top w:w="57" w:type="dxa"/>
              <w:left w:w="57" w:type="dxa"/>
              <w:bottom w:w="57" w:type="dxa"/>
              <w:right w:w="57" w:type="dxa"/>
            </w:tcMar>
            <w:vAlign w:val="center"/>
          </w:tcPr>
          <w:p>
            <w:pPr>
              <w:adjustRightInd w:val="0"/>
              <w:snapToGrid w:val="0"/>
              <w:ind w:firstLine="420"/>
              <w:jc w:val="center"/>
            </w:pPr>
          </w:p>
        </w:tc>
        <w:tc>
          <w:tcPr>
            <w:tcW w:w="469" w:type="pct"/>
            <w:vMerge w:val="continue"/>
            <w:tcMar>
              <w:top w:w="57" w:type="dxa"/>
              <w:left w:w="57" w:type="dxa"/>
              <w:bottom w:w="57" w:type="dxa"/>
              <w:right w:w="57" w:type="dxa"/>
            </w:tcMar>
            <w:vAlign w:val="center"/>
          </w:tcPr>
          <w:p>
            <w:pPr>
              <w:adjustRightInd w:val="0"/>
              <w:snapToGrid w:val="0"/>
              <w:ind w:firstLine="420"/>
              <w:jc w:val="center"/>
            </w:pPr>
          </w:p>
        </w:tc>
        <w:tc>
          <w:tcPr>
            <w:tcW w:w="1267" w:type="pct"/>
            <w:tcMar>
              <w:top w:w="57" w:type="dxa"/>
              <w:left w:w="57" w:type="dxa"/>
              <w:bottom w:w="57" w:type="dxa"/>
              <w:right w:w="57" w:type="dxa"/>
            </w:tcMar>
            <w:vAlign w:val="center"/>
          </w:tcPr>
          <w:p>
            <w:pPr>
              <w:adjustRightInd w:val="0"/>
              <w:snapToGrid w:val="0"/>
              <w:jc w:val="center"/>
            </w:pPr>
            <w:r>
              <w:t>拟委任主要人员</w:t>
            </w:r>
          </w:p>
          <w:p>
            <w:pPr>
              <w:adjustRightInd w:val="0"/>
              <w:snapToGrid w:val="0"/>
              <w:jc w:val="center"/>
            </w:pPr>
            <w:r>
              <w:t>（</w:t>
            </w:r>
            <w:r>
              <w:rPr>
                <w:rFonts w:hint="eastAsia"/>
              </w:rPr>
              <w:t>20</w:t>
            </w:r>
            <w:r>
              <w:t>分）</w:t>
            </w:r>
          </w:p>
        </w:tc>
        <w:tc>
          <w:tcPr>
            <w:tcW w:w="2788" w:type="pct"/>
            <w:tcMar>
              <w:top w:w="57" w:type="dxa"/>
              <w:left w:w="57" w:type="dxa"/>
              <w:bottom w:w="57" w:type="dxa"/>
              <w:right w:w="57" w:type="dxa"/>
            </w:tcMar>
            <w:vAlign w:val="center"/>
          </w:tcPr>
          <w:p>
            <w:pPr>
              <w:widowControl/>
            </w:pPr>
            <w:r>
              <w:rPr>
                <w:rFonts w:hint="eastAsia"/>
              </w:rPr>
              <w:t>项目组成员结构合理，不超过1</w:t>
            </w:r>
            <w:r>
              <w:t>2</w:t>
            </w:r>
            <w:r>
              <w:rPr>
                <w:rFonts w:hint="eastAsia"/>
              </w:rPr>
              <w:t>人（不含项目负责人），且具备类似项目经验：</w:t>
            </w:r>
          </w:p>
          <w:p>
            <w:pPr>
              <w:widowControl/>
            </w:pPr>
            <w:r>
              <w:rPr>
                <w:rFonts w:hint="eastAsia"/>
              </w:rPr>
              <w:t>（1）除项目负责人外，每增加一名全日制博士学历人员得</w:t>
            </w:r>
            <w:r>
              <w:t>1</w:t>
            </w:r>
            <w:r>
              <w:rPr>
                <w:rFonts w:hint="eastAsia"/>
              </w:rPr>
              <w:t>分，每增加一名全日制硕士学历人员得</w:t>
            </w:r>
            <w:r>
              <w:t>0.5</w:t>
            </w:r>
            <w:r>
              <w:rPr>
                <w:rFonts w:hint="eastAsia"/>
              </w:rPr>
              <w:t>分，最高得6分；</w:t>
            </w:r>
          </w:p>
          <w:p>
            <w:pPr>
              <w:widowControl/>
            </w:pPr>
            <w:r>
              <w:rPr>
                <w:rFonts w:hint="eastAsia"/>
              </w:rPr>
              <w:t>（2）除项目负责人外，每增加一名高级工程师，得1分，最高得6分；</w:t>
            </w:r>
          </w:p>
          <w:p>
            <w:pPr>
              <w:widowControl/>
            </w:pPr>
            <w:r>
              <w:rPr>
                <w:rFonts w:hint="eastAsia"/>
              </w:rPr>
              <w:t>（3）除项目负责人外，每增加一名工程师得</w:t>
            </w:r>
            <w:r>
              <w:t>0.5</w:t>
            </w:r>
            <w:r>
              <w:rPr>
                <w:rFonts w:hint="eastAsia"/>
              </w:rPr>
              <w:t>分，最高得3分；</w:t>
            </w:r>
          </w:p>
          <w:p>
            <w:pPr>
              <w:widowControl/>
            </w:pPr>
            <w:r>
              <w:rPr>
                <w:rFonts w:hint="eastAsia"/>
              </w:rPr>
              <w:t>（4）项目组人员专业配置齐全，人员中含有水文水资源、自然资源、水利工程、生态环境工程专业的，每提供一个专业，得</w:t>
            </w:r>
            <w:r>
              <w:t>1</w:t>
            </w:r>
            <w:r>
              <w:rPr>
                <w:rFonts w:hint="eastAsia"/>
              </w:rPr>
              <w:t>分，最多</w:t>
            </w:r>
            <w:r>
              <w:t>3</w:t>
            </w:r>
            <w:r>
              <w:rPr>
                <w:rFonts w:hint="eastAsia"/>
              </w:rPr>
              <w:t>分；</w:t>
            </w:r>
          </w:p>
          <w:p>
            <w:pPr>
              <w:widowControl/>
            </w:pPr>
            <w:r>
              <w:rPr>
                <w:rFonts w:hint="eastAsia"/>
              </w:rPr>
              <w:t>（5）项目组人员拥有多年现场调查经验，投入人员中具有水利或相关专业</w:t>
            </w:r>
            <w:r>
              <w:rPr>
                <w:rFonts w:hint="eastAsia"/>
                <w:lang w:val="en-US" w:eastAsia="zh-CN"/>
              </w:rPr>
              <w:t>的注册土木、注册监理类</w:t>
            </w:r>
            <w:r>
              <w:rPr>
                <w:rFonts w:hint="eastAsia"/>
              </w:rPr>
              <w:t>证件且在有效期内的，每有一人得0</w:t>
            </w:r>
            <w:r>
              <w:t>.5</w:t>
            </w:r>
            <w:r>
              <w:rPr>
                <w:rFonts w:hint="eastAsia"/>
              </w:rPr>
              <w:t>分，最多2分。</w:t>
            </w:r>
          </w:p>
          <w:p>
            <w:pPr>
              <w:widowControl/>
              <w:ind w:firstLine="480"/>
            </w:pPr>
            <w:r>
              <w:rPr>
                <w:rFonts w:hint="eastAsia"/>
              </w:rPr>
              <w:t>注：需提供项目组各成员在本单位近半年的社保证明，如不提供或不足半年，则该项不得分。专业以毕业证专业为准。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4" w:type="pct"/>
            <w:vMerge w:val="restart"/>
            <w:tcMar>
              <w:top w:w="57" w:type="dxa"/>
              <w:left w:w="57" w:type="dxa"/>
              <w:bottom w:w="57" w:type="dxa"/>
              <w:right w:w="57" w:type="dxa"/>
            </w:tcMar>
            <w:vAlign w:val="center"/>
          </w:tcPr>
          <w:p>
            <w:pPr>
              <w:adjustRightInd w:val="0"/>
              <w:snapToGrid w:val="0"/>
              <w:ind w:firstLine="420"/>
              <w:jc w:val="center"/>
              <w:rPr>
                <w:rFonts w:hint="eastAsia" w:eastAsia="宋体"/>
                <w:lang w:eastAsia="zh-CN"/>
              </w:rPr>
            </w:pPr>
            <w:r>
              <w:rPr>
                <w:rFonts w:hint="eastAsia"/>
                <w:lang w:val="en-US" w:eastAsia="zh-CN"/>
              </w:rPr>
              <w:t>3</w:t>
            </w:r>
          </w:p>
        </w:tc>
        <w:tc>
          <w:tcPr>
            <w:tcW w:w="469" w:type="pct"/>
            <w:vMerge w:val="restart"/>
            <w:tcMar>
              <w:top w:w="57" w:type="dxa"/>
              <w:left w:w="57" w:type="dxa"/>
              <w:bottom w:w="57" w:type="dxa"/>
              <w:right w:w="57" w:type="dxa"/>
            </w:tcMar>
            <w:vAlign w:val="center"/>
          </w:tcPr>
          <w:p>
            <w:pPr>
              <w:adjustRightInd w:val="0"/>
              <w:snapToGrid w:val="0"/>
            </w:pPr>
            <w:r>
              <w:t>技术部分评分标准</w:t>
            </w:r>
          </w:p>
          <w:p>
            <w:pPr>
              <w:adjustRightInd w:val="0"/>
              <w:snapToGrid w:val="0"/>
            </w:pPr>
            <w:r>
              <w:t>（</w:t>
            </w:r>
            <w:r>
              <w:rPr>
                <w:rFonts w:hint="eastAsia"/>
                <w:lang w:val="en-US" w:eastAsia="zh-CN"/>
              </w:rPr>
              <w:t>4</w:t>
            </w:r>
            <w:r>
              <w:t>1分）</w:t>
            </w:r>
          </w:p>
        </w:tc>
        <w:tc>
          <w:tcPr>
            <w:tcW w:w="1267" w:type="pct"/>
            <w:tcMar>
              <w:top w:w="57" w:type="dxa"/>
              <w:left w:w="57" w:type="dxa"/>
              <w:bottom w:w="57" w:type="dxa"/>
              <w:right w:w="57" w:type="dxa"/>
            </w:tcMar>
            <w:vAlign w:val="center"/>
          </w:tcPr>
          <w:p>
            <w:pPr>
              <w:adjustRightInd w:val="0"/>
              <w:snapToGrid w:val="0"/>
              <w:jc w:val="center"/>
            </w:pPr>
            <w:r>
              <w:t>对招标人要求的理解</w:t>
            </w:r>
          </w:p>
          <w:p>
            <w:pPr>
              <w:adjustRightInd w:val="0"/>
              <w:snapToGrid w:val="0"/>
              <w:jc w:val="center"/>
              <w:rPr>
                <w:rFonts w:ascii="Times New Roman" w:hAnsi="Times New Roman" w:eastAsia="宋体" w:cs="Times New Roman"/>
                <w:kern w:val="2"/>
                <w:sz w:val="21"/>
                <w:szCs w:val="21"/>
                <w:lang w:val="en-US" w:eastAsia="zh-CN" w:bidi="ar-SA"/>
              </w:rPr>
            </w:pPr>
            <w:r>
              <w:t>（</w:t>
            </w:r>
            <w:r>
              <w:rPr>
                <w:rFonts w:hint="eastAsia"/>
                <w:lang w:val="en-US" w:eastAsia="zh-CN"/>
              </w:rPr>
              <w:t>10</w:t>
            </w:r>
            <w:r>
              <w:t>分）</w:t>
            </w:r>
          </w:p>
        </w:tc>
        <w:tc>
          <w:tcPr>
            <w:tcW w:w="2788" w:type="pct"/>
            <w:tcMar>
              <w:top w:w="57" w:type="dxa"/>
              <w:left w:w="57" w:type="dxa"/>
              <w:bottom w:w="57" w:type="dxa"/>
              <w:right w:w="57" w:type="dxa"/>
            </w:tcMar>
            <w:vAlign w:val="center"/>
          </w:tcPr>
          <w:p>
            <w:pPr>
              <w:adjustRightInd w:val="0"/>
              <w:snapToGrid w:val="0"/>
              <w:ind w:firstLine="420"/>
            </w:pPr>
            <w:r>
              <w:t>充分理解招标人要求，对项目实施重点、关键点分析透彻，得</w:t>
            </w:r>
            <w:r>
              <w:rPr>
                <w:rFonts w:hint="eastAsia"/>
                <w:lang w:val="en-US" w:eastAsia="zh-CN"/>
              </w:rPr>
              <w:t>10</w:t>
            </w:r>
            <w:r>
              <w:t>（含）分；</w:t>
            </w:r>
          </w:p>
          <w:p>
            <w:pPr>
              <w:adjustRightInd w:val="0"/>
              <w:snapToGrid w:val="0"/>
              <w:ind w:firstLine="420"/>
            </w:pPr>
            <w:r>
              <w:t>较为理解委托人要求，对项目实施重点、关键点进行了一定的分析，得</w:t>
            </w:r>
            <w:r>
              <w:rPr>
                <w:rFonts w:hint="eastAsia"/>
                <w:lang w:val="en-US" w:eastAsia="zh-CN"/>
              </w:rPr>
              <w:t>7</w:t>
            </w:r>
            <w:r>
              <w:t>～</w:t>
            </w:r>
            <w:r>
              <w:rPr>
                <w:rFonts w:hint="eastAsia"/>
                <w:lang w:val="en-US" w:eastAsia="zh-CN"/>
              </w:rPr>
              <w:t>9</w:t>
            </w:r>
            <w:r>
              <w:t>（含）分；</w:t>
            </w:r>
          </w:p>
          <w:p>
            <w:pPr>
              <w:adjustRightInd w:val="0"/>
              <w:snapToGrid w:val="0"/>
              <w:ind w:firstLine="420" w:firstLineChars="0"/>
              <w:rPr>
                <w:rFonts w:ascii="Times New Roman" w:hAnsi="Times New Roman" w:eastAsia="宋体" w:cs="Times New Roman"/>
                <w:kern w:val="2"/>
                <w:sz w:val="21"/>
                <w:szCs w:val="21"/>
                <w:lang w:val="en-US" w:eastAsia="zh-CN" w:bidi="ar-SA"/>
              </w:rPr>
            </w:pPr>
            <w:r>
              <w:t>基本理解委托人要求，但没有对项目实施重点、关键点加以分析，得</w:t>
            </w:r>
            <w:r>
              <w:rPr>
                <w:rFonts w:hint="eastAsia"/>
                <w:lang w:val="en-US" w:eastAsia="zh-CN"/>
              </w:rPr>
              <w:t>4</w:t>
            </w:r>
            <w:r>
              <w:t>（含）～</w:t>
            </w:r>
            <w:r>
              <w:rPr>
                <w:rFonts w:hint="eastAsia"/>
                <w:lang w:val="en-US" w:eastAsia="zh-CN"/>
              </w:rPr>
              <w:t>6</w:t>
            </w:r>
            <w:r>
              <w:t>（含）分。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4" w:type="pct"/>
            <w:vMerge w:val="continue"/>
            <w:tcMar>
              <w:top w:w="57" w:type="dxa"/>
              <w:left w:w="57" w:type="dxa"/>
              <w:bottom w:w="57" w:type="dxa"/>
              <w:right w:w="57" w:type="dxa"/>
            </w:tcMar>
            <w:vAlign w:val="center"/>
          </w:tcPr>
          <w:p>
            <w:pPr>
              <w:adjustRightInd w:val="0"/>
              <w:snapToGrid w:val="0"/>
              <w:ind w:firstLine="420"/>
              <w:jc w:val="center"/>
            </w:pPr>
          </w:p>
        </w:tc>
        <w:tc>
          <w:tcPr>
            <w:tcW w:w="469" w:type="pct"/>
            <w:vMerge w:val="continue"/>
            <w:tcMar>
              <w:top w:w="57" w:type="dxa"/>
              <w:left w:w="57" w:type="dxa"/>
              <w:bottom w:w="57" w:type="dxa"/>
              <w:right w:w="57" w:type="dxa"/>
            </w:tcMar>
            <w:vAlign w:val="center"/>
          </w:tcPr>
          <w:p>
            <w:pPr>
              <w:adjustRightInd w:val="0"/>
              <w:snapToGrid w:val="0"/>
              <w:ind w:firstLine="420"/>
              <w:jc w:val="center"/>
            </w:pPr>
          </w:p>
        </w:tc>
        <w:tc>
          <w:tcPr>
            <w:tcW w:w="1267" w:type="pct"/>
            <w:tcMar>
              <w:top w:w="57" w:type="dxa"/>
              <w:left w:w="57" w:type="dxa"/>
              <w:bottom w:w="57" w:type="dxa"/>
              <w:right w:w="57" w:type="dxa"/>
            </w:tcMar>
            <w:vAlign w:val="center"/>
          </w:tcPr>
          <w:p>
            <w:pPr>
              <w:adjustRightInd w:val="0"/>
              <w:snapToGrid w:val="0"/>
              <w:jc w:val="center"/>
            </w:pPr>
            <w:r>
              <w:t>工作实施方案</w:t>
            </w:r>
          </w:p>
          <w:p>
            <w:pPr>
              <w:adjustRightInd w:val="0"/>
              <w:snapToGrid w:val="0"/>
              <w:jc w:val="center"/>
              <w:rPr>
                <w:rFonts w:ascii="Times New Roman" w:hAnsi="Times New Roman" w:eastAsia="宋体" w:cs="Times New Roman"/>
                <w:kern w:val="2"/>
                <w:sz w:val="21"/>
                <w:szCs w:val="21"/>
                <w:lang w:val="en-US" w:eastAsia="zh-CN" w:bidi="ar-SA"/>
              </w:rPr>
            </w:pPr>
            <w:r>
              <w:t>（1</w:t>
            </w:r>
            <w:r>
              <w:rPr>
                <w:rFonts w:hint="eastAsia"/>
                <w:lang w:val="en-US" w:eastAsia="zh-CN"/>
              </w:rPr>
              <w:t>5</w:t>
            </w:r>
            <w:r>
              <w:t>分）</w:t>
            </w:r>
          </w:p>
        </w:tc>
        <w:tc>
          <w:tcPr>
            <w:tcW w:w="2788" w:type="pct"/>
            <w:tcMar>
              <w:top w:w="57" w:type="dxa"/>
              <w:left w:w="57" w:type="dxa"/>
              <w:bottom w:w="57" w:type="dxa"/>
              <w:right w:w="57" w:type="dxa"/>
            </w:tcMar>
            <w:vAlign w:val="center"/>
          </w:tcPr>
          <w:p>
            <w:pPr>
              <w:adjustRightInd w:val="0"/>
              <w:snapToGrid w:val="0"/>
            </w:pPr>
            <w:r>
              <w:t>项目实施方案科学、合理、详尽，且与本项目紧密结合、针对性强，得</w:t>
            </w:r>
            <w:r>
              <w:rPr>
                <w:rFonts w:hint="eastAsia"/>
                <w:lang w:val="en-US" w:eastAsia="zh-CN"/>
              </w:rPr>
              <w:t>13</w:t>
            </w:r>
            <w:r>
              <w:t>～</w:t>
            </w:r>
            <w:r>
              <w:rPr>
                <w:rFonts w:hint="eastAsia"/>
                <w:lang w:val="en-US" w:eastAsia="zh-CN"/>
              </w:rPr>
              <w:t>15</w:t>
            </w:r>
            <w:r>
              <w:t>（含）分；</w:t>
            </w:r>
          </w:p>
          <w:p>
            <w:pPr>
              <w:adjustRightInd w:val="0"/>
              <w:snapToGrid w:val="0"/>
            </w:pPr>
            <w:r>
              <w:t>项目实施方案合理、详尽，针对性较好，得</w:t>
            </w:r>
            <w:r>
              <w:rPr>
                <w:rFonts w:hint="eastAsia"/>
                <w:lang w:val="en-US" w:eastAsia="zh-CN"/>
              </w:rPr>
              <w:t>10</w:t>
            </w:r>
            <w:r>
              <w:t>～</w:t>
            </w:r>
            <w:r>
              <w:rPr>
                <w:rFonts w:hint="eastAsia"/>
                <w:lang w:val="en-US" w:eastAsia="zh-CN"/>
              </w:rPr>
              <w:t>12</w:t>
            </w:r>
            <w:r>
              <w:t>（含）分；</w:t>
            </w:r>
          </w:p>
          <w:p>
            <w:pPr>
              <w:adjustRightInd w:val="0"/>
              <w:snapToGrid w:val="0"/>
              <w:rPr>
                <w:rFonts w:ascii="Times New Roman" w:hAnsi="Times New Roman" w:eastAsia="宋体" w:cs="Times New Roman"/>
                <w:kern w:val="2"/>
                <w:sz w:val="21"/>
                <w:szCs w:val="21"/>
                <w:lang w:val="en-US" w:eastAsia="zh-CN" w:bidi="ar-SA"/>
              </w:rPr>
            </w:pPr>
            <w:r>
              <w:t>项目实施方案内容简单且针对性一般，得</w:t>
            </w:r>
            <w:r>
              <w:rPr>
                <w:rFonts w:hint="eastAsia"/>
                <w:lang w:val="en-US" w:eastAsia="zh-CN"/>
              </w:rPr>
              <w:t>7</w:t>
            </w:r>
            <w:r>
              <w:t>（含）～</w:t>
            </w:r>
            <w:r>
              <w:rPr>
                <w:rFonts w:hint="eastAsia"/>
                <w:lang w:val="en-US" w:eastAsia="zh-CN"/>
              </w:rPr>
              <w:t>9</w:t>
            </w:r>
            <w:r>
              <w:t>（含）分。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4" w:type="pct"/>
            <w:vMerge w:val="continue"/>
            <w:tcMar>
              <w:top w:w="57" w:type="dxa"/>
              <w:left w:w="57" w:type="dxa"/>
              <w:bottom w:w="57" w:type="dxa"/>
              <w:right w:w="57" w:type="dxa"/>
            </w:tcMar>
            <w:vAlign w:val="center"/>
          </w:tcPr>
          <w:p>
            <w:pPr>
              <w:adjustRightInd w:val="0"/>
              <w:snapToGrid w:val="0"/>
              <w:ind w:firstLine="420"/>
              <w:jc w:val="center"/>
            </w:pPr>
          </w:p>
        </w:tc>
        <w:tc>
          <w:tcPr>
            <w:tcW w:w="469" w:type="pct"/>
            <w:vMerge w:val="continue"/>
            <w:tcMar>
              <w:top w:w="57" w:type="dxa"/>
              <w:left w:w="57" w:type="dxa"/>
              <w:bottom w:w="57" w:type="dxa"/>
              <w:right w:w="57" w:type="dxa"/>
            </w:tcMar>
            <w:vAlign w:val="center"/>
          </w:tcPr>
          <w:p>
            <w:pPr>
              <w:adjustRightInd w:val="0"/>
              <w:snapToGrid w:val="0"/>
              <w:ind w:firstLine="420"/>
              <w:jc w:val="center"/>
            </w:pPr>
          </w:p>
        </w:tc>
        <w:tc>
          <w:tcPr>
            <w:tcW w:w="1267" w:type="pct"/>
            <w:tcMar>
              <w:top w:w="57" w:type="dxa"/>
              <w:left w:w="57" w:type="dxa"/>
              <w:bottom w:w="57" w:type="dxa"/>
              <w:right w:w="57" w:type="dxa"/>
            </w:tcMar>
            <w:vAlign w:val="center"/>
          </w:tcPr>
          <w:p>
            <w:pPr>
              <w:adjustRightInd w:val="0"/>
              <w:snapToGrid w:val="0"/>
              <w:jc w:val="left"/>
              <w:rPr>
                <w:rFonts w:ascii="Times New Roman" w:hAnsi="Times New Roman" w:eastAsia="宋体" w:cs="Times New Roman"/>
                <w:kern w:val="2"/>
                <w:sz w:val="21"/>
                <w:szCs w:val="21"/>
                <w:lang w:val="en-US" w:eastAsia="zh-CN" w:bidi="ar-SA"/>
              </w:rPr>
            </w:pPr>
            <w:r>
              <w:t>本项目的特点、重点和难点分析及对策（10分）</w:t>
            </w:r>
          </w:p>
        </w:tc>
        <w:tc>
          <w:tcPr>
            <w:tcW w:w="2788" w:type="pct"/>
            <w:tcMar>
              <w:top w:w="57" w:type="dxa"/>
              <w:left w:w="57" w:type="dxa"/>
              <w:bottom w:w="57" w:type="dxa"/>
              <w:right w:w="57" w:type="dxa"/>
            </w:tcMar>
            <w:vAlign w:val="center"/>
          </w:tcPr>
          <w:p>
            <w:pPr>
              <w:adjustRightInd w:val="0"/>
              <w:snapToGrid w:val="0"/>
              <w:ind w:firstLine="210" w:firstLineChars="100"/>
            </w:pPr>
            <w:r>
              <w:t>对项目的特点、重点和难点分析客观、深刻，具有针对性，对策和措施具体、合理、有效的，得7～10（含）分；</w:t>
            </w:r>
          </w:p>
          <w:p>
            <w:pPr>
              <w:adjustRightInd w:val="0"/>
              <w:snapToGrid w:val="0"/>
              <w:ind w:firstLine="420"/>
            </w:pPr>
            <w:r>
              <w:t>对项目的特点、重点和难点分析比较客观、深刻的，具有较强针对性，对策和措施具体、合理、有效的，得4～7（含）分；</w:t>
            </w:r>
          </w:p>
          <w:p>
            <w:pPr>
              <w:adjustRightInd w:val="0"/>
              <w:snapToGrid w:val="0"/>
              <w:ind w:firstLine="420" w:firstLineChars="0"/>
              <w:rPr>
                <w:rFonts w:ascii="Times New Roman" w:hAnsi="Times New Roman" w:eastAsia="宋体" w:cs="Times New Roman"/>
                <w:kern w:val="2"/>
                <w:sz w:val="21"/>
                <w:szCs w:val="21"/>
                <w:lang w:val="en-US" w:eastAsia="zh-CN" w:bidi="ar-SA"/>
              </w:rPr>
            </w:pPr>
            <w:r>
              <w:t>对项目的特点、重点和难点分析一般，针对性，对策和措施具体比较一般的，得0（含）～4（含）分；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4" w:type="pct"/>
            <w:vMerge w:val="continue"/>
            <w:tcMar>
              <w:top w:w="57" w:type="dxa"/>
              <w:left w:w="57" w:type="dxa"/>
              <w:bottom w:w="57" w:type="dxa"/>
              <w:right w:w="57" w:type="dxa"/>
            </w:tcMar>
            <w:vAlign w:val="center"/>
          </w:tcPr>
          <w:p>
            <w:pPr>
              <w:adjustRightInd w:val="0"/>
              <w:snapToGrid w:val="0"/>
              <w:ind w:firstLine="420"/>
              <w:jc w:val="center"/>
            </w:pPr>
          </w:p>
        </w:tc>
        <w:tc>
          <w:tcPr>
            <w:tcW w:w="469" w:type="pct"/>
            <w:vMerge w:val="continue"/>
            <w:tcMar>
              <w:top w:w="57" w:type="dxa"/>
              <w:left w:w="57" w:type="dxa"/>
              <w:bottom w:w="57" w:type="dxa"/>
              <w:right w:w="57" w:type="dxa"/>
            </w:tcMar>
            <w:vAlign w:val="center"/>
          </w:tcPr>
          <w:p>
            <w:pPr>
              <w:adjustRightInd w:val="0"/>
              <w:snapToGrid w:val="0"/>
              <w:ind w:firstLine="420"/>
              <w:jc w:val="center"/>
            </w:pPr>
          </w:p>
        </w:tc>
        <w:tc>
          <w:tcPr>
            <w:tcW w:w="1267" w:type="pct"/>
            <w:tcMar>
              <w:top w:w="57" w:type="dxa"/>
              <w:left w:w="57" w:type="dxa"/>
              <w:bottom w:w="57" w:type="dxa"/>
              <w:right w:w="57" w:type="dxa"/>
            </w:tcMar>
            <w:vAlign w:val="center"/>
          </w:tcPr>
          <w:p>
            <w:pPr>
              <w:adjustRightInd w:val="0"/>
              <w:snapToGrid w:val="0"/>
              <w:jc w:val="left"/>
            </w:pPr>
            <w:r>
              <w:rPr>
                <w:rFonts w:hint="eastAsia"/>
              </w:rPr>
              <w:t>项目工期进度保证、质量保证（6分）</w:t>
            </w:r>
          </w:p>
          <w:p>
            <w:pPr>
              <w:adjustRightInd w:val="0"/>
              <w:snapToGrid w:val="0"/>
              <w:jc w:val="center"/>
              <w:rPr>
                <w:rFonts w:ascii="Times New Roman" w:hAnsi="Times New Roman" w:eastAsia="宋体" w:cs="Times New Roman"/>
                <w:kern w:val="2"/>
                <w:sz w:val="21"/>
                <w:szCs w:val="21"/>
                <w:lang w:val="en-US" w:eastAsia="zh-CN" w:bidi="ar-SA"/>
              </w:rPr>
            </w:pPr>
          </w:p>
        </w:tc>
        <w:tc>
          <w:tcPr>
            <w:tcW w:w="2788" w:type="pct"/>
            <w:tcMar>
              <w:top w:w="57" w:type="dxa"/>
              <w:left w:w="57" w:type="dxa"/>
              <w:bottom w:w="57" w:type="dxa"/>
              <w:right w:w="57" w:type="dxa"/>
            </w:tcMar>
            <w:vAlign w:val="center"/>
          </w:tcPr>
          <w:p>
            <w:pPr>
              <w:adjustRightInd w:val="0"/>
              <w:snapToGrid w:val="0"/>
              <w:ind w:firstLine="420" w:firstLineChars="0"/>
              <w:rPr>
                <w:rFonts w:ascii="Times New Roman" w:hAnsi="Times New Roman" w:eastAsia="宋体" w:cs="Times New Roman"/>
                <w:kern w:val="2"/>
                <w:sz w:val="21"/>
                <w:szCs w:val="21"/>
                <w:lang w:val="en-US" w:eastAsia="zh-CN" w:bidi="ar-SA"/>
              </w:rPr>
            </w:pPr>
            <w:r>
              <w:rPr>
                <w:rFonts w:hint="eastAsia"/>
              </w:rPr>
              <w:t>对项目工期进度、质量、人员保证较好的得4~6分；部分保证得2~</w:t>
            </w:r>
            <w:r>
              <w:t>4</w:t>
            </w:r>
            <w:r>
              <w:rPr>
                <w:rFonts w:hint="eastAsia"/>
              </w:rPr>
              <w:t>分（含）；较差或无法保证的不得分；</w:t>
            </w:r>
          </w:p>
        </w:tc>
      </w:tr>
    </w:tbl>
    <w:p/>
    <w:p>
      <w:pPr>
        <w:pStyle w:val="38"/>
        <w:ind w:firstLine="0" w:firstLineChars="0"/>
        <w:rPr>
          <w:rFonts w:asciiTheme="minorEastAsia" w:hAnsiTheme="minorEastAsia" w:eastAsiaTheme="minorEastAsia"/>
          <w:bCs/>
          <w:sz w:val="36"/>
          <w:szCs w:val="36"/>
        </w:rPr>
      </w:pPr>
    </w:p>
    <w:p>
      <w:pPr>
        <w:widowControl/>
        <w:jc w:val="center"/>
        <w:rPr>
          <w:rFonts w:asciiTheme="minorEastAsia" w:hAnsiTheme="minorEastAsia" w:eastAsiaTheme="minorEastAsia"/>
          <w:bCs/>
          <w:sz w:val="36"/>
          <w:szCs w:val="36"/>
        </w:rPr>
      </w:pPr>
    </w:p>
    <w:p>
      <w:pPr>
        <w:pStyle w:val="49"/>
        <w:rPr>
          <w:rFonts w:asciiTheme="minorEastAsia" w:hAnsiTheme="minorEastAsia" w:eastAsiaTheme="minorEastAsia"/>
          <w:bCs/>
          <w:sz w:val="36"/>
          <w:szCs w:val="36"/>
        </w:rPr>
      </w:pPr>
    </w:p>
    <w:p>
      <w:pPr>
        <w:widowControl/>
        <w:jc w:val="center"/>
        <w:rPr>
          <w:rFonts w:asciiTheme="minorEastAsia" w:hAnsiTheme="minorEastAsia" w:eastAsiaTheme="minorEastAsia"/>
          <w:bCs/>
          <w:sz w:val="36"/>
          <w:szCs w:val="36"/>
        </w:rPr>
      </w:pPr>
      <w:r>
        <w:rPr>
          <w:rFonts w:hint="eastAsia" w:asciiTheme="minorEastAsia" w:hAnsiTheme="minorEastAsia" w:eastAsiaTheme="minorEastAsia"/>
          <w:bCs/>
          <w:sz w:val="36"/>
          <w:szCs w:val="36"/>
        </w:rPr>
        <w:t>第六章投标文件格式</w:t>
      </w:r>
    </w:p>
    <w:p>
      <w:pPr>
        <w:spacing w:line="500" w:lineRule="exact"/>
        <w:jc w:val="center"/>
        <w:rPr>
          <w:rFonts w:asciiTheme="minorEastAsia" w:hAnsiTheme="minorEastAsia" w:eastAsiaTheme="minorEastAsia"/>
          <w:b/>
          <w:sz w:val="24"/>
          <w:szCs w:val="24"/>
        </w:rPr>
      </w:pPr>
    </w:p>
    <w:p>
      <w:pPr>
        <w:spacing w:line="720" w:lineRule="auto"/>
        <w:jc w:val="center"/>
        <w:rPr>
          <w:rFonts w:asciiTheme="minorEastAsia" w:hAnsiTheme="minorEastAsia" w:eastAsiaTheme="minorEastAsia"/>
          <w:b/>
          <w:sz w:val="72"/>
          <w:szCs w:val="72"/>
        </w:rPr>
      </w:pPr>
      <w:r>
        <w:rPr>
          <w:rFonts w:hint="eastAsia" w:asciiTheme="minorEastAsia" w:hAnsiTheme="minorEastAsia" w:eastAsiaTheme="minorEastAsia"/>
          <w:b/>
          <w:sz w:val="72"/>
          <w:szCs w:val="72"/>
        </w:rPr>
        <w:t>投标文件</w:t>
      </w:r>
    </w:p>
    <w:p>
      <w:pPr>
        <w:spacing w:line="500" w:lineRule="exact"/>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（正或副本）</w:t>
      </w:r>
    </w:p>
    <w:p>
      <w:pPr>
        <w:spacing w:line="500" w:lineRule="exact"/>
        <w:jc w:val="center"/>
        <w:rPr>
          <w:rFonts w:asciiTheme="minorEastAsia" w:hAnsiTheme="minorEastAsia" w:eastAsiaTheme="minorEastAsia"/>
          <w:b/>
          <w:sz w:val="24"/>
          <w:szCs w:val="24"/>
        </w:rPr>
      </w:pPr>
    </w:p>
    <w:p>
      <w:pPr>
        <w:spacing w:line="500" w:lineRule="exact"/>
        <w:jc w:val="center"/>
        <w:rPr>
          <w:rFonts w:asciiTheme="minorEastAsia" w:hAnsiTheme="minorEastAsia" w:eastAsiaTheme="minorEastAsia"/>
          <w:b/>
          <w:sz w:val="24"/>
          <w:szCs w:val="24"/>
        </w:rPr>
      </w:pPr>
    </w:p>
    <w:p>
      <w:pPr>
        <w:spacing w:line="500" w:lineRule="exact"/>
        <w:jc w:val="center"/>
        <w:rPr>
          <w:rFonts w:asciiTheme="minorEastAsia" w:hAnsiTheme="minorEastAsia" w:eastAsiaTheme="minorEastAsia"/>
          <w:b/>
          <w:sz w:val="24"/>
          <w:szCs w:val="24"/>
        </w:rPr>
      </w:pPr>
    </w:p>
    <w:p>
      <w:pPr>
        <w:spacing w:line="500" w:lineRule="exact"/>
        <w:jc w:val="center"/>
        <w:rPr>
          <w:rFonts w:asciiTheme="minorEastAsia" w:hAnsiTheme="minorEastAsia" w:eastAsiaTheme="minorEastAsia"/>
          <w:b/>
          <w:sz w:val="24"/>
          <w:szCs w:val="24"/>
        </w:rPr>
      </w:pPr>
    </w:p>
    <w:p>
      <w:pPr>
        <w:spacing w:line="500" w:lineRule="exact"/>
        <w:jc w:val="center"/>
        <w:rPr>
          <w:rFonts w:asciiTheme="minorEastAsia" w:hAnsiTheme="minorEastAsia" w:eastAsiaTheme="minorEastAsia"/>
          <w:b/>
          <w:sz w:val="24"/>
          <w:szCs w:val="24"/>
        </w:rPr>
      </w:pPr>
    </w:p>
    <w:p>
      <w:pPr>
        <w:spacing w:line="500" w:lineRule="exact"/>
        <w:jc w:val="center"/>
        <w:rPr>
          <w:rFonts w:asciiTheme="minorEastAsia" w:hAnsiTheme="minorEastAsia" w:eastAsiaTheme="minorEastAsia"/>
          <w:b/>
          <w:sz w:val="24"/>
          <w:szCs w:val="24"/>
        </w:rPr>
      </w:pPr>
    </w:p>
    <w:p>
      <w:pPr>
        <w:spacing w:line="500" w:lineRule="exact"/>
        <w:jc w:val="center"/>
        <w:rPr>
          <w:rFonts w:asciiTheme="minorEastAsia" w:hAnsiTheme="minorEastAsia" w:eastAsiaTheme="minorEastAsia"/>
          <w:b/>
          <w:sz w:val="24"/>
          <w:szCs w:val="24"/>
        </w:rPr>
      </w:pPr>
    </w:p>
    <w:p>
      <w:pPr>
        <w:spacing w:line="500" w:lineRule="exact"/>
        <w:ind w:firstLine="1084" w:firstLineChars="300"/>
        <w:rPr>
          <w:rFonts w:asciiTheme="minorEastAsia" w:hAnsiTheme="minorEastAsia" w:eastAsiaTheme="minorEastAsia"/>
          <w:b/>
          <w:sz w:val="36"/>
          <w:szCs w:val="36"/>
          <w:u w:val="single"/>
        </w:rPr>
      </w:pPr>
      <w:r>
        <w:rPr>
          <w:rFonts w:hint="eastAsia" w:asciiTheme="minorEastAsia" w:hAnsiTheme="minorEastAsia" w:eastAsiaTheme="minorEastAsia"/>
          <w:b/>
          <w:sz w:val="36"/>
          <w:szCs w:val="36"/>
        </w:rPr>
        <w:t>项目编号：</w:t>
      </w:r>
    </w:p>
    <w:p>
      <w:pPr>
        <w:spacing w:line="500" w:lineRule="exact"/>
        <w:ind w:firstLine="1084" w:firstLineChars="300"/>
        <w:rPr>
          <w:rFonts w:asciiTheme="minorEastAsia" w:hAnsiTheme="minorEastAsia" w:eastAsiaTheme="minorEastAsia"/>
          <w:b/>
          <w:sz w:val="36"/>
          <w:szCs w:val="36"/>
          <w:u w:val="single"/>
        </w:rPr>
      </w:pPr>
    </w:p>
    <w:p>
      <w:pPr>
        <w:spacing w:line="500" w:lineRule="exact"/>
        <w:ind w:firstLine="1084" w:firstLineChars="300"/>
        <w:rPr>
          <w:rFonts w:asciiTheme="minorEastAsia" w:hAnsiTheme="minorEastAsia" w:eastAsiaTheme="minorEastAsia"/>
          <w:b/>
          <w:sz w:val="36"/>
          <w:szCs w:val="36"/>
          <w:u w:val="single"/>
        </w:rPr>
      </w:pPr>
      <w:r>
        <w:rPr>
          <w:rFonts w:hint="eastAsia" w:asciiTheme="minorEastAsia" w:hAnsiTheme="minorEastAsia" w:eastAsiaTheme="minorEastAsia"/>
          <w:b/>
          <w:sz w:val="36"/>
          <w:szCs w:val="36"/>
        </w:rPr>
        <w:t>项目名称：</w:t>
      </w:r>
    </w:p>
    <w:p>
      <w:pPr>
        <w:spacing w:line="500" w:lineRule="exact"/>
        <w:ind w:firstLine="1084" w:firstLineChars="300"/>
        <w:rPr>
          <w:rFonts w:asciiTheme="minorEastAsia" w:hAnsiTheme="minorEastAsia" w:eastAsiaTheme="minorEastAsia"/>
          <w:b/>
          <w:sz w:val="36"/>
          <w:szCs w:val="36"/>
          <w:u w:val="single"/>
        </w:rPr>
      </w:pPr>
    </w:p>
    <w:p>
      <w:pPr>
        <w:spacing w:line="500" w:lineRule="exact"/>
        <w:ind w:firstLine="1084" w:firstLineChars="300"/>
        <w:rPr>
          <w:rFonts w:asciiTheme="minorEastAsia" w:hAnsiTheme="minorEastAsia" w:eastAsiaTheme="minorEastAsia"/>
          <w:b/>
          <w:sz w:val="36"/>
          <w:szCs w:val="36"/>
          <w:u w:val="single"/>
        </w:rPr>
      </w:pPr>
      <w:r>
        <w:rPr>
          <w:rFonts w:hint="eastAsia" w:asciiTheme="minorEastAsia" w:hAnsiTheme="minorEastAsia" w:eastAsiaTheme="minorEastAsia"/>
          <w:b/>
          <w:sz w:val="36"/>
          <w:szCs w:val="36"/>
        </w:rPr>
        <w:t>投标人名称：</w:t>
      </w:r>
    </w:p>
    <w:p>
      <w:pPr>
        <w:spacing w:line="500" w:lineRule="exact"/>
        <w:rPr>
          <w:rFonts w:asciiTheme="minorEastAsia" w:hAnsiTheme="minorEastAsia" w:eastAsiaTheme="minorEastAsia"/>
          <w:b/>
          <w:sz w:val="36"/>
          <w:szCs w:val="36"/>
          <w:u w:val="single"/>
        </w:rPr>
      </w:pPr>
    </w:p>
    <w:p>
      <w:pPr>
        <w:spacing w:line="500" w:lineRule="exact"/>
        <w:ind w:firstLine="1084" w:firstLineChars="300"/>
        <w:rPr>
          <w:rFonts w:asciiTheme="minorEastAsia" w:hAnsiTheme="minorEastAsia" w:eastAsiaTheme="minorEastAsia"/>
          <w:b/>
          <w:sz w:val="36"/>
          <w:szCs w:val="36"/>
        </w:rPr>
      </w:pPr>
      <w:r>
        <w:rPr>
          <w:rFonts w:hint="eastAsia" w:asciiTheme="minorEastAsia" w:hAnsiTheme="minorEastAsia" w:eastAsiaTheme="minorEastAsia"/>
          <w:b/>
          <w:sz w:val="36"/>
          <w:szCs w:val="36"/>
        </w:rPr>
        <w:t>日  期：</w:t>
      </w:r>
    </w:p>
    <w:p>
      <w:pPr>
        <w:spacing w:line="500" w:lineRule="exact"/>
        <w:jc w:val="center"/>
        <w:rPr>
          <w:rFonts w:asciiTheme="minorEastAsia" w:hAnsiTheme="minorEastAsia" w:eastAsiaTheme="minorEastAsia"/>
          <w:b/>
          <w:bCs/>
          <w:sz w:val="36"/>
          <w:szCs w:val="36"/>
        </w:rPr>
      </w:pPr>
    </w:p>
    <w:p>
      <w:pPr>
        <w:spacing w:line="500" w:lineRule="exact"/>
        <w:ind w:firstLine="480" w:firstLineChars="200"/>
        <w:rPr>
          <w:rFonts w:asciiTheme="minorEastAsia" w:hAnsiTheme="minorEastAsia" w:eastAsiaTheme="minorEastAsia"/>
          <w:sz w:val="24"/>
          <w:szCs w:val="24"/>
        </w:rPr>
      </w:pPr>
    </w:p>
    <w:p>
      <w:pPr>
        <w:spacing w:line="500" w:lineRule="exact"/>
        <w:ind w:firstLine="480" w:firstLineChars="200"/>
        <w:rPr>
          <w:rFonts w:asciiTheme="minorEastAsia" w:hAnsiTheme="minorEastAsia" w:eastAsiaTheme="minorEastAsia"/>
          <w:sz w:val="24"/>
          <w:szCs w:val="24"/>
        </w:rPr>
      </w:pPr>
    </w:p>
    <w:p>
      <w:pPr>
        <w:spacing w:line="500" w:lineRule="exact"/>
        <w:jc w:val="center"/>
        <w:rPr>
          <w:rFonts w:ascii="宋体"/>
          <w:b/>
          <w:sz w:val="24"/>
          <w:szCs w:val="24"/>
        </w:rPr>
      </w:pPr>
      <w:r>
        <w:rPr>
          <w:rFonts w:ascii="宋体"/>
          <w:sz w:val="24"/>
          <w:szCs w:val="24"/>
        </w:rPr>
        <w:br w:type="page"/>
      </w:r>
      <w:r>
        <w:rPr>
          <w:rFonts w:hint="eastAsia" w:ascii="宋体" w:hAnsi="宋体"/>
          <w:b/>
          <w:sz w:val="24"/>
          <w:szCs w:val="24"/>
        </w:rPr>
        <w:t>评分索引表</w:t>
      </w:r>
    </w:p>
    <w:tbl>
      <w:tblPr>
        <w:tblStyle w:val="40"/>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5670" w:type="dxa"/>
          </w:tcPr>
          <w:p>
            <w:pPr>
              <w:pStyle w:val="107"/>
              <w:shd w:val="clear" w:color="auto" w:fill="FFFFFF"/>
              <w:spacing w:line="500" w:lineRule="exact"/>
              <w:ind w:left="420"/>
              <w:jc w:val="center"/>
              <w:rPr>
                <w:rFonts w:ascii="宋体"/>
                <w:b/>
                <w:bCs/>
                <w:kern w:val="2"/>
                <w:szCs w:val="24"/>
                <w:lang w:eastAsia="zh-CN"/>
              </w:rPr>
            </w:pPr>
            <w:r>
              <w:rPr>
                <w:rFonts w:hint="eastAsia" w:ascii="宋体" w:hAnsi="宋体"/>
                <w:b/>
                <w:kern w:val="2"/>
                <w:szCs w:val="24"/>
              </w:rPr>
              <w:t>评分项目</w:t>
            </w:r>
          </w:p>
        </w:tc>
        <w:tc>
          <w:tcPr>
            <w:tcW w:w="3570" w:type="dxa"/>
          </w:tcPr>
          <w:p>
            <w:pPr>
              <w:spacing w:line="500" w:lineRule="exact"/>
              <w:jc w:val="center"/>
              <w:rPr>
                <w:rFonts w:ascii="宋体"/>
                <w:b/>
                <w:sz w:val="24"/>
                <w:szCs w:val="24"/>
              </w:rPr>
            </w:pPr>
            <w:r>
              <w:rPr>
                <w:rFonts w:hint="eastAsia" w:ascii="宋体" w:hAnsi="宋体"/>
                <w:b/>
                <w:kern w:val="0"/>
                <w:sz w:val="24"/>
                <w:szCs w:val="24"/>
              </w:rPr>
              <w:t>在投标文件中的页码位置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5670" w:type="dxa"/>
          </w:tcPr>
          <w:p>
            <w:pPr>
              <w:pStyle w:val="107"/>
              <w:shd w:val="clear" w:color="auto" w:fill="FFFFFF"/>
              <w:spacing w:line="500" w:lineRule="exact"/>
              <w:ind w:left="420"/>
              <w:jc w:val="both"/>
              <w:rPr>
                <w:rFonts w:ascii="宋体"/>
                <w:b/>
                <w:kern w:val="2"/>
                <w:szCs w:val="24"/>
                <w:lang w:eastAsia="zh-CN"/>
              </w:rPr>
            </w:pPr>
          </w:p>
        </w:tc>
        <w:tc>
          <w:tcPr>
            <w:tcW w:w="3570" w:type="dxa"/>
          </w:tcPr>
          <w:p>
            <w:pPr>
              <w:spacing w:line="500" w:lineRule="exact"/>
              <w:rPr>
                <w:rFonts w:ascii="宋体"/>
                <w:b/>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240" w:type="dxa"/>
            <w:gridSpan w:val="2"/>
          </w:tcPr>
          <w:p>
            <w:pPr>
              <w:pStyle w:val="107"/>
              <w:shd w:val="clear" w:color="auto" w:fill="FFFFFF"/>
              <w:spacing w:line="500" w:lineRule="exact"/>
              <w:ind w:left="420"/>
              <w:jc w:val="both"/>
              <w:rPr>
                <w:rFonts w:ascii="宋体"/>
                <w:kern w:val="2"/>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5670" w:type="dxa"/>
          </w:tcPr>
          <w:p>
            <w:pPr>
              <w:pStyle w:val="107"/>
              <w:shd w:val="clear" w:color="auto" w:fill="FFFFFF"/>
              <w:spacing w:line="500" w:lineRule="exact"/>
              <w:ind w:left="420"/>
              <w:rPr>
                <w:rFonts w:ascii="宋体"/>
                <w:kern w:val="2"/>
                <w:szCs w:val="24"/>
                <w:lang w:eastAsia="zh-CN"/>
              </w:rPr>
            </w:pPr>
          </w:p>
        </w:tc>
        <w:tc>
          <w:tcPr>
            <w:tcW w:w="3570" w:type="dxa"/>
          </w:tcPr>
          <w:p>
            <w:pPr>
              <w:spacing w:line="500" w:lineRule="exac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670" w:type="dxa"/>
          </w:tcPr>
          <w:p>
            <w:pPr>
              <w:pStyle w:val="107"/>
              <w:shd w:val="clear" w:color="auto" w:fill="FFFFFF"/>
              <w:spacing w:line="500" w:lineRule="exact"/>
              <w:ind w:left="420"/>
              <w:rPr>
                <w:rFonts w:ascii="宋体"/>
                <w:kern w:val="2"/>
                <w:szCs w:val="24"/>
                <w:lang w:eastAsia="zh-CN"/>
              </w:rPr>
            </w:pPr>
          </w:p>
        </w:tc>
        <w:tc>
          <w:tcPr>
            <w:tcW w:w="3570" w:type="dxa"/>
          </w:tcPr>
          <w:p>
            <w:pPr>
              <w:spacing w:line="500" w:lineRule="exac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5670" w:type="dxa"/>
          </w:tcPr>
          <w:p>
            <w:pPr>
              <w:pStyle w:val="107"/>
              <w:shd w:val="clear" w:color="auto" w:fill="FFFFFF"/>
              <w:spacing w:line="500" w:lineRule="exact"/>
              <w:ind w:left="420"/>
              <w:rPr>
                <w:rFonts w:ascii="宋体"/>
                <w:kern w:val="2"/>
                <w:szCs w:val="24"/>
                <w:lang w:eastAsia="zh-CN"/>
              </w:rPr>
            </w:pPr>
          </w:p>
        </w:tc>
        <w:tc>
          <w:tcPr>
            <w:tcW w:w="3570" w:type="dxa"/>
          </w:tcPr>
          <w:p>
            <w:pPr>
              <w:spacing w:line="500" w:lineRule="exac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5670" w:type="dxa"/>
          </w:tcPr>
          <w:p>
            <w:pPr>
              <w:pStyle w:val="107"/>
              <w:shd w:val="clear" w:color="auto" w:fill="FFFFFF"/>
              <w:spacing w:line="500" w:lineRule="exact"/>
              <w:ind w:left="420"/>
              <w:rPr>
                <w:rFonts w:ascii="宋体"/>
                <w:kern w:val="2"/>
                <w:szCs w:val="24"/>
                <w:lang w:eastAsia="zh-CN"/>
              </w:rPr>
            </w:pPr>
          </w:p>
        </w:tc>
        <w:tc>
          <w:tcPr>
            <w:tcW w:w="3570" w:type="dxa"/>
          </w:tcPr>
          <w:p>
            <w:pPr>
              <w:spacing w:line="500" w:lineRule="exac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670" w:type="dxa"/>
          </w:tcPr>
          <w:p>
            <w:pPr>
              <w:pStyle w:val="107"/>
              <w:shd w:val="clear" w:color="auto" w:fill="FFFFFF"/>
              <w:spacing w:line="500" w:lineRule="exact"/>
              <w:ind w:left="420"/>
              <w:rPr>
                <w:rFonts w:ascii="宋体"/>
                <w:kern w:val="2"/>
                <w:szCs w:val="24"/>
                <w:lang w:eastAsia="zh-CN"/>
              </w:rPr>
            </w:pPr>
          </w:p>
        </w:tc>
        <w:tc>
          <w:tcPr>
            <w:tcW w:w="3570" w:type="dxa"/>
          </w:tcPr>
          <w:p>
            <w:pPr>
              <w:spacing w:line="500" w:lineRule="exac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240" w:type="dxa"/>
            <w:gridSpan w:val="2"/>
          </w:tcPr>
          <w:p>
            <w:pPr>
              <w:pStyle w:val="107"/>
              <w:shd w:val="clear" w:color="auto" w:fill="FFFFFF"/>
              <w:spacing w:line="500" w:lineRule="exact"/>
              <w:ind w:left="420"/>
              <w:jc w:val="both"/>
              <w:rPr>
                <w:rFonts w:ascii="宋体"/>
                <w:kern w:val="2"/>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670" w:type="dxa"/>
          </w:tcPr>
          <w:p>
            <w:pPr>
              <w:pStyle w:val="107"/>
              <w:shd w:val="clear" w:color="auto" w:fill="FFFFFF"/>
              <w:spacing w:line="500" w:lineRule="exact"/>
              <w:ind w:left="420"/>
              <w:rPr>
                <w:rFonts w:ascii="宋体"/>
                <w:kern w:val="2"/>
                <w:szCs w:val="24"/>
                <w:lang w:eastAsia="zh-CN"/>
              </w:rPr>
            </w:pPr>
          </w:p>
        </w:tc>
        <w:tc>
          <w:tcPr>
            <w:tcW w:w="3570" w:type="dxa"/>
          </w:tcPr>
          <w:p>
            <w:pPr>
              <w:spacing w:line="500" w:lineRule="exac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jc w:val="center"/>
        </w:trPr>
        <w:tc>
          <w:tcPr>
            <w:tcW w:w="5670" w:type="dxa"/>
          </w:tcPr>
          <w:p>
            <w:pPr>
              <w:pStyle w:val="107"/>
              <w:shd w:val="clear" w:color="auto" w:fill="FFFFFF"/>
              <w:spacing w:line="500" w:lineRule="exact"/>
              <w:ind w:left="420"/>
              <w:rPr>
                <w:rFonts w:ascii="宋体"/>
                <w:kern w:val="2"/>
                <w:szCs w:val="24"/>
                <w:lang w:eastAsia="zh-CN"/>
              </w:rPr>
            </w:pPr>
          </w:p>
        </w:tc>
        <w:tc>
          <w:tcPr>
            <w:tcW w:w="3570" w:type="dxa"/>
          </w:tcPr>
          <w:p>
            <w:pPr>
              <w:spacing w:line="500" w:lineRule="exac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670" w:type="dxa"/>
          </w:tcPr>
          <w:p>
            <w:pPr>
              <w:pStyle w:val="107"/>
              <w:shd w:val="clear" w:color="auto" w:fill="FFFFFF"/>
              <w:spacing w:line="500" w:lineRule="exact"/>
              <w:ind w:left="420"/>
              <w:rPr>
                <w:rFonts w:ascii="宋体"/>
                <w:kern w:val="2"/>
                <w:szCs w:val="24"/>
                <w:lang w:eastAsia="zh-CN"/>
              </w:rPr>
            </w:pPr>
          </w:p>
        </w:tc>
        <w:tc>
          <w:tcPr>
            <w:tcW w:w="3570" w:type="dxa"/>
          </w:tcPr>
          <w:p>
            <w:pPr>
              <w:spacing w:line="500" w:lineRule="exac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5670" w:type="dxa"/>
          </w:tcPr>
          <w:p>
            <w:pPr>
              <w:pStyle w:val="107"/>
              <w:shd w:val="clear" w:color="auto" w:fill="FFFFFF"/>
              <w:spacing w:line="500" w:lineRule="exact"/>
              <w:ind w:left="420"/>
              <w:rPr>
                <w:rFonts w:ascii="宋体"/>
                <w:kern w:val="2"/>
                <w:szCs w:val="24"/>
                <w:lang w:eastAsia="zh-CN"/>
              </w:rPr>
            </w:pPr>
          </w:p>
        </w:tc>
        <w:tc>
          <w:tcPr>
            <w:tcW w:w="3570" w:type="dxa"/>
          </w:tcPr>
          <w:p>
            <w:pPr>
              <w:spacing w:line="500" w:lineRule="exac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5670" w:type="dxa"/>
          </w:tcPr>
          <w:p>
            <w:pPr>
              <w:pStyle w:val="107"/>
              <w:shd w:val="clear" w:color="auto" w:fill="FFFFFF"/>
              <w:spacing w:line="500" w:lineRule="exact"/>
              <w:ind w:left="420"/>
              <w:rPr>
                <w:rFonts w:ascii="宋体"/>
                <w:kern w:val="2"/>
                <w:szCs w:val="24"/>
                <w:lang w:eastAsia="zh-CN"/>
              </w:rPr>
            </w:pPr>
          </w:p>
        </w:tc>
        <w:tc>
          <w:tcPr>
            <w:tcW w:w="3570" w:type="dxa"/>
          </w:tcPr>
          <w:p>
            <w:pPr>
              <w:spacing w:line="500" w:lineRule="exac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9240" w:type="dxa"/>
            <w:gridSpan w:val="2"/>
          </w:tcPr>
          <w:p>
            <w:pPr>
              <w:pStyle w:val="107"/>
              <w:shd w:val="clear" w:color="auto" w:fill="FFFFFF"/>
              <w:spacing w:line="500" w:lineRule="exact"/>
              <w:ind w:left="420"/>
              <w:jc w:val="both"/>
              <w:rPr>
                <w:rFonts w:ascii="宋体"/>
                <w:b/>
                <w:kern w:val="2"/>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5670" w:type="dxa"/>
          </w:tcPr>
          <w:p>
            <w:pPr>
              <w:pStyle w:val="107"/>
              <w:shd w:val="clear" w:color="auto" w:fill="FFFFFF"/>
              <w:spacing w:line="500" w:lineRule="exact"/>
              <w:ind w:left="420"/>
              <w:rPr>
                <w:rFonts w:ascii="宋体"/>
                <w:b/>
                <w:bCs/>
                <w:kern w:val="2"/>
                <w:szCs w:val="24"/>
                <w:lang w:eastAsia="zh-CN"/>
              </w:rPr>
            </w:pPr>
          </w:p>
        </w:tc>
        <w:tc>
          <w:tcPr>
            <w:tcW w:w="3570" w:type="dxa"/>
          </w:tcPr>
          <w:p>
            <w:pPr>
              <w:spacing w:line="500" w:lineRule="exac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670" w:type="dxa"/>
          </w:tcPr>
          <w:p>
            <w:pPr>
              <w:pStyle w:val="107"/>
              <w:shd w:val="clear" w:color="auto" w:fill="FFFFFF"/>
              <w:spacing w:line="500" w:lineRule="exact"/>
              <w:ind w:left="420"/>
              <w:rPr>
                <w:rFonts w:ascii="宋体"/>
                <w:kern w:val="2"/>
                <w:szCs w:val="24"/>
                <w:lang w:eastAsia="zh-CN"/>
              </w:rPr>
            </w:pPr>
          </w:p>
        </w:tc>
        <w:tc>
          <w:tcPr>
            <w:tcW w:w="3570" w:type="dxa"/>
          </w:tcPr>
          <w:p>
            <w:pPr>
              <w:spacing w:line="500" w:lineRule="exac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5670" w:type="dxa"/>
          </w:tcPr>
          <w:p>
            <w:pPr>
              <w:pStyle w:val="107"/>
              <w:shd w:val="clear" w:color="auto" w:fill="FFFFFF"/>
              <w:spacing w:line="500" w:lineRule="exact"/>
              <w:ind w:left="420"/>
              <w:rPr>
                <w:rFonts w:ascii="宋体"/>
                <w:b/>
                <w:bCs/>
                <w:kern w:val="2"/>
                <w:szCs w:val="24"/>
                <w:lang w:eastAsia="zh-CN"/>
              </w:rPr>
            </w:pPr>
          </w:p>
        </w:tc>
        <w:tc>
          <w:tcPr>
            <w:tcW w:w="3570" w:type="dxa"/>
          </w:tcPr>
          <w:p>
            <w:pPr>
              <w:spacing w:line="500" w:lineRule="exac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9240" w:type="dxa"/>
            <w:gridSpan w:val="2"/>
          </w:tcPr>
          <w:p>
            <w:pPr>
              <w:pStyle w:val="107"/>
              <w:shd w:val="clear" w:color="auto" w:fill="FFFFFF"/>
              <w:spacing w:line="500" w:lineRule="exact"/>
              <w:ind w:left="420"/>
              <w:jc w:val="both"/>
              <w:rPr>
                <w:rFonts w:ascii="宋体"/>
                <w:b/>
                <w:kern w:val="2"/>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5670" w:type="dxa"/>
          </w:tcPr>
          <w:p>
            <w:pPr>
              <w:pStyle w:val="107"/>
              <w:shd w:val="clear" w:color="auto" w:fill="FFFFFF"/>
              <w:spacing w:line="500" w:lineRule="exact"/>
              <w:ind w:left="0" w:firstLine="480" w:firstLineChars="200"/>
              <w:rPr>
                <w:rFonts w:ascii="宋体"/>
                <w:kern w:val="2"/>
                <w:szCs w:val="24"/>
                <w:lang w:eastAsia="zh-CN"/>
              </w:rPr>
            </w:pPr>
          </w:p>
        </w:tc>
        <w:tc>
          <w:tcPr>
            <w:tcW w:w="3570" w:type="dxa"/>
          </w:tcPr>
          <w:p>
            <w:pPr>
              <w:spacing w:line="500" w:lineRule="exac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5670" w:type="dxa"/>
          </w:tcPr>
          <w:p>
            <w:pPr>
              <w:pStyle w:val="107"/>
              <w:shd w:val="clear" w:color="auto" w:fill="FFFFFF"/>
              <w:spacing w:line="500" w:lineRule="exact"/>
              <w:ind w:left="0" w:firstLine="480" w:firstLineChars="200"/>
              <w:rPr>
                <w:rFonts w:ascii="宋体"/>
                <w:kern w:val="2"/>
                <w:szCs w:val="24"/>
                <w:lang w:eastAsia="zh-CN"/>
              </w:rPr>
            </w:pPr>
          </w:p>
        </w:tc>
        <w:tc>
          <w:tcPr>
            <w:tcW w:w="3570" w:type="dxa"/>
          </w:tcPr>
          <w:p>
            <w:pPr>
              <w:spacing w:line="500" w:lineRule="exact"/>
              <w:rPr>
                <w:rFonts w:ascii="宋体"/>
                <w:sz w:val="24"/>
                <w:szCs w:val="24"/>
              </w:rPr>
            </w:pPr>
          </w:p>
        </w:tc>
      </w:tr>
    </w:tbl>
    <w:p>
      <w:pPr>
        <w:spacing w:line="500" w:lineRule="exact"/>
        <w:rPr>
          <w:rFonts w:ascii="宋体"/>
          <w:sz w:val="24"/>
          <w:szCs w:val="24"/>
        </w:rPr>
      </w:pPr>
    </w:p>
    <w:p>
      <w:pPr>
        <w:widowControl/>
        <w:jc w:val="left"/>
        <w:rPr>
          <w:rFonts w:ascii="宋体"/>
          <w:sz w:val="24"/>
          <w:szCs w:val="24"/>
        </w:rPr>
      </w:pPr>
      <w:r>
        <w:rPr>
          <w:rFonts w:ascii="宋体"/>
          <w:sz w:val="24"/>
          <w:szCs w:val="24"/>
        </w:rPr>
        <w:br w:type="page"/>
      </w:r>
    </w:p>
    <w:p>
      <w:pPr>
        <w:spacing w:line="500" w:lineRule="exact"/>
        <w:jc w:val="center"/>
        <w:rPr>
          <w:rFonts w:ascii="宋体"/>
          <w:b/>
          <w:bCs/>
          <w:sz w:val="40"/>
          <w:szCs w:val="40"/>
        </w:rPr>
      </w:pPr>
      <w:r>
        <w:rPr>
          <w:rFonts w:hint="eastAsia" w:ascii="宋体" w:hAnsi="宋体"/>
          <w:b/>
          <w:bCs/>
          <w:sz w:val="40"/>
          <w:szCs w:val="40"/>
        </w:rPr>
        <w:t>投标主要文件目录</w:t>
      </w:r>
    </w:p>
    <w:p>
      <w:pPr>
        <w:numPr>
          <w:ilvl w:val="0"/>
          <w:numId w:val="5"/>
        </w:numPr>
        <w:spacing w:line="660" w:lineRule="exact"/>
        <w:ind w:firstLine="560" w:firstLineChars="200"/>
        <w:rPr>
          <w:rFonts w:ascii="宋体" w:hAnsi="宋体"/>
          <w:sz w:val="28"/>
          <w:szCs w:val="28"/>
        </w:rPr>
      </w:pPr>
      <w:r>
        <w:rPr>
          <w:rFonts w:hint="eastAsia" w:ascii="宋体" w:hAnsi="宋体"/>
          <w:sz w:val="28"/>
          <w:szCs w:val="28"/>
        </w:rPr>
        <w:t>资信证明文件要求</w:t>
      </w:r>
    </w:p>
    <w:p>
      <w:pPr>
        <w:pStyle w:val="38"/>
        <w:ind w:firstLine="560"/>
        <w:rPr>
          <w:rFonts w:ascii="宋体" w:hAnsi="宋体" w:eastAsia="宋体"/>
          <w:sz w:val="28"/>
          <w:szCs w:val="28"/>
        </w:rPr>
      </w:pPr>
      <w:r>
        <w:rPr>
          <w:rFonts w:hint="eastAsia" w:ascii="宋体" w:hAnsi="宋体" w:eastAsia="宋体"/>
          <w:sz w:val="28"/>
          <w:szCs w:val="28"/>
        </w:rPr>
        <w:t>二、资格性审查响应对照表</w:t>
      </w:r>
    </w:p>
    <w:p>
      <w:pPr>
        <w:pStyle w:val="38"/>
        <w:ind w:firstLine="560"/>
        <w:rPr>
          <w:rFonts w:ascii="宋体" w:hAnsi="宋体" w:eastAsia="宋体"/>
          <w:sz w:val="28"/>
          <w:szCs w:val="28"/>
        </w:rPr>
      </w:pPr>
      <w:r>
        <w:rPr>
          <w:rFonts w:hint="eastAsia" w:ascii="宋体" w:hAnsi="宋体" w:eastAsia="宋体"/>
          <w:sz w:val="28"/>
          <w:szCs w:val="28"/>
        </w:rPr>
        <w:t>三、符合性检查响应对照表</w:t>
      </w:r>
    </w:p>
    <w:p>
      <w:pPr>
        <w:pStyle w:val="38"/>
        <w:ind w:firstLine="560"/>
        <w:rPr>
          <w:rFonts w:ascii="宋体" w:hAnsi="宋体" w:eastAsia="宋体"/>
          <w:sz w:val="28"/>
          <w:szCs w:val="28"/>
        </w:rPr>
      </w:pPr>
      <w:r>
        <w:rPr>
          <w:rFonts w:hint="eastAsia" w:ascii="宋体" w:hAnsi="宋体" w:eastAsia="宋体"/>
          <w:sz w:val="28"/>
          <w:szCs w:val="28"/>
        </w:rPr>
        <w:t>四、投标函</w:t>
      </w:r>
    </w:p>
    <w:p>
      <w:pPr>
        <w:pStyle w:val="38"/>
        <w:ind w:firstLine="560"/>
        <w:rPr>
          <w:rFonts w:ascii="宋体" w:hAnsi="宋体" w:eastAsia="宋体"/>
          <w:sz w:val="28"/>
          <w:szCs w:val="28"/>
        </w:rPr>
      </w:pPr>
      <w:r>
        <w:rPr>
          <w:rFonts w:hint="eastAsia" w:ascii="宋体" w:hAnsi="宋体" w:eastAsia="宋体"/>
          <w:sz w:val="28"/>
          <w:szCs w:val="28"/>
        </w:rPr>
        <w:t>五、开标一览表、投标分项报价表</w:t>
      </w:r>
    </w:p>
    <w:p>
      <w:pPr>
        <w:pStyle w:val="38"/>
        <w:ind w:firstLine="560"/>
        <w:rPr>
          <w:rFonts w:ascii="宋体" w:hAnsi="宋体" w:eastAsia="宋体"/>
          <w:sz w:val="28"/>
          <w:szCs w:val="28"/>
        </w:rPr>
      </w:pPr>
      <w:r>
        <w:rPr>
          <w:rFonts w:hint="eastAsia" w:ascii="宋体" w:hAnsi="宋体" w:eastAsia="宋体"/>
          <w:sz w:val="28"/>
          <w:szCs w:val="28"/>
        </w:rPr>
        <w:t>六、技术参数响应及偏离表（如有）</w:t>
      </w:r>
    </w:p>
    <w:p>
      <w:pPr>
        <w:pStyle w:val="38"/>
        <w:ind w:firstLine="560"/>
        <w:rPr>
          <w:rFonts w:ascii="宋体" w:hAnsi="宋体" w:eastAsia="宋体"/>
          <w:sz w:val="28"/>
          <w:szCs w:val="28"/>
        </w:rPr>
      </w:pPr>
      <w:r>
        <w:rPr>
          <w:rFonts w:hint="eastAsia" w:ascii="宋体" w:hAnsi="宋体" w:eastAsia="宋体"/>
          <w:sz w:val="28"/>
          <w:szCs w:val="28"/>
        </w:rPr>
        <w:t>七、商务条款响应及偏离表</w:t>
      </w:r>
    </w:p>
    <w:p>
      <w:pPr>
        <w:pStyle w:val="38"/>
        <w:ind w:firstLine="560"/>
        <w:rPr>
          <w:rFonts w:ascii="宋体" w:hAnsi="宋体" w:eastAsia="宋体"/>
          <w:sz w:val="28"/>
          <w:szCs w:val="28"/>
        </w:rPr>
      </w:pPr>
      <w:r>
        <w:rPr>
          <w:rFonts w:hint="eastAsia" w:ascii="宋体" w:hAnsi="宋体" w:eastAsia="宋体"/>
          <w:sz w:val="28"/>
          <w:szCs w:val="28"/>
        </w:rPr>
        <w:t>八、拟投入本项目人员一览表</w:t>
      </w:r>
    </w:p>
    <w:p>
      <w:pPr>
        <w:pStyle w:val="38"/>
        <w:ind w:firstLine="560"/>
        <w:rPr>
          <w:rFonts w:ascii="宋体" w:hAnsi="宋体" w:eastAsia="宋体"/>
          <w:sz w:val="28"/>
          <w:szCs w:val="28"/>
        </w:rPr>
      </w:pPr>
      <w:r>
        <w:rPr>
          <w:rFonts w:hint="eastAsia" w:ascii="宋体" w:hAnsi="宋体" w:eastAsia="宋体"/>
          <w:sz w:val="28"/>
          <w:szCs w:val="28"/>
        </w:rPr>
        <w:t>九、实施方案</w:t>
      </w:r>
    </w:p>
    <w:p>
      <w:pPr>
        <w:pStyle w:val="38"/>
        <w:ind w:firstLine="560"/>
        <w:rPr>
          <w:rFonts w:ascii="宋体" w:hAnsi="宋体" w:eastAsia="宋体"/>
          <w:sz w:val="28"/>
          <w:szCs w:val="28"/>
        </w:rPr>
      </w:pPr>
      <w:r>
        <w:rPr>
          <w:rFonts w:hint="eastAsia" w:ascii="宋体" w:hAnsi="宋体" w:eastAsia="宋体"/>
          <w:sz w:val="28"/>
          <w:szCs w:val="28"/>
        </w:rPr>
        <w:t>十、盐城市盐都区政府采购事前信用承诺书</w:t>
      </w:r>
    </w:p>
    <w:p>
      <w:pPr>
        <w:spacing w:line="660" w:lineRule="exact"/>
        <w:ind w:firstLine="560" w:firstLineChars="200"/>
        <w:rPr>
          <w:sz w:val="28"/>
          <w:szCs w:val="28"/>
        </w:rPr>
      </w:pPr>
    </w:p>
    <w:p>
      <w:pPr>
        <w:spacing w:line="660" w:lineRule="exact"/>
        <w:ind w:firstLine="560" w:firstLineChars="200"/>
        <w:rPr>
          <w:rFonts w:ascii="宋体" w:hAnsi="宋体"/>
          <w:sz w:val="28"/>
          <w:szCs w:val="28"/>
        </w:rPr>
      </w:pPr>
    </w:p>
    <w:p>
      <w:pPr>
        <w:spacing w:line="660" w:lineRule="exact"/>
        <w:ind w:firstLine="560" w:firstLineChars="200"/>
        <w:rPr>
          <w:rFonts w:ascii="宋体"/>
          <w:sz w:val="28"/>
          <w:szCs w:val="28"/>
        </w:rPr>
      </w:pPr>
    </w:p>
    <w:p>
      <w:pPr>
        <w:widowControl/>
        <w:jc w:val="left"/>
        <w:rPr>
          <w:rFonts w:ascii="宋体"/>
          <w:b/>
          <w:sz w:val="36"/>
          <w:szCs w:val="36"/>
        </w:rPr>
      </w:pPr>
    </w:p>
    <w:p>
      <w:pPr>
        <w:widowControl/>
        <w:jc w:val="left"/>
        <w:rPr>
          <w:rFonts w:ascii="宋体"/>
          <w:b/>
          <w:sz w:val="36"/>
          <w:szCs w:val="36"/>
        </w:rPr>
      </w:pPr>
    </w:p>
    <w:p>
      <w:pPr>
        <w:widowControl/>
        <w:jc w:val="left"/>
        <w:rPr>
          <w:rFonts w:ascii="宋体"/>
          <w:b/>
          <w:sz w:val="36"/>
          <w:szCs w:val="36"/>
        </w:rPr>
      </w:pPr>
    </w:p>
    <w:p>
      <w:pPr>
        <w:widowControl/>
        <w:jc w:val="left"/>
        <w:rPr>
          <w:rFonts w:ascii="宋体"/>
          <w:b/>
          <w:sz w:val="36"/>
          <w:szCs w:val="36"/>
        </w:rPr>
      </w:pPr>
    </w:p>
    <w:p>
      <w:pPr>
        <w:widowControl/>
        <w:jc w:val="left"/>
        <w:rPr>
          <w:rFonts w:ascii="宋体"/>
          <w:b/>
          <w:sz w:val="36"/>
          <w:szCs w:val="36"/>
        </w:rPr>
      </w:pPr>
    </w:p>
    <w:p>
      <w:pPr>
        <w:widowControl/>
        <w:jc w:val="left"/>
        <w:rPr>
          <w:rFonts w:ascii="宋体"/>
          <w:b/>
          <w:sz w:val="36"/>
          <w:szCs w:val="36"/>
        </w:rPr>
      </w:pPr>
    </w:p>
    <w:p>
      <w:pPr>
        <w:widowControl/>
        <w:jc w:val="left"/>
        <w:rPr>
          <w:rFonts w:ascii="宋体"/>
          <w:b/>
          <w:sz w:val="36"/>
          <w:szCs w:val="36"/>
        </w:rPr>
      </w:pPr>
    </w:p>
    <w:p>
      <w:pPr>
        <w:pStyle w:val="49"/>
      </w:pPr>
    </w:p>
    <w:bookmarkEnd w:id="157"/>
    <w:bookmarkEnd w:id="158"/>
    <w:bookmarkEnd w:id="159"/>
    <w:p>
      <w:pPr>
        <w:snapToGrid w:val="0"/>
        <w:spacing w:before="50" w:after="50" w:line="500" w:lineRule="exact"/>
        <w:jc w:val="center"/>
        <w:rPr>
          <w:rFonts w:ascii="宋体"/>
          <w:b/>
          <w:bCs/>
          <w:sz w:val="36"/>
          <w:szCs w:val="36"/>
        </w:rPr>
      </w:pPr>
      <w:r>
        <w:rPr>
          <w:rFonts w:hint="eastAsia" w:ascii="宋体" w:hAnsi="宋体"/>
          <w:b/>
          <w:bCs/>
          <w:sz w:val="36"/>
          <w:szCs w:val="36"/>
        </w:rPr>
        <w:t>一、资格信誉等证明文件要求</w:t>
      </w:r>
    </w:p>
    <w:p>
      <w:pPr>
        <w:snapToGrid w:val="0"/>
        <w:spacing w:before="50" w:after="50" w:line="500" w:lineRule="exact"/>
        <w:rPr>
          <w:rFonts w:ascii="宋体"/>
          <w:i/>
          <w:sz w:val="24"/>
          <w:szCs w:val="24"/>
          <w:u w:val="single"/>
        </w:rPr>
      </w:pPr>
    </w:p>
    <w:p>
      <w:pPr>
        <w:snapToGrid w:val="0"/>
        <w:spacing w:before="50" w:after="50" w:line="500" w:lineRule="exact"/>
        <w:ind w:firstLine="482" w:firstLineChars="200"/>
        <w:rPr>
          <w:rFonts w:ascii="宋体"/>
          <w:sz w:val="24"/>
          <w:szCs w:val="24"/>
        </w:rPr>
      </w:pPr>
      <w:r>
        <w:rPr>
          <w:rFonts w:ascii="宋体" w:hAnsi="宋体"/>
          <w:b/>
          <w:bCs/>
          <w:sz w:val="24"/>
          <w:szCs w:val="24"/>
        </w:rPr>
        <w:t>1</w:t>
      </w:r>
      <w:r>
        <w:rPr>
          <w:rFonts w:hint="eastAsia" w:ascii="宋体" w:hAnsi="宋体"/>
          <w:b/>
          <w:bCs/>
          <w:sz w:val="24"/>
          <w:szCs w:val="24"/>
        </w:rPr>
        <w:t>、实质性资格证明文件目录</w:t>
      </w:r>
    </w:p>
    <w:p>
      <w:pPr>
        <w:snapToGrid w:val="0"/>
        <w:spacing w:line="500" w:lineRule="exact"/>
        <w:ind w:firstLine="482" w:firstLineChars="200"/>
        <w:rPr>
          <w:rFonts w:ascii="宋体" w:cs="Arial"/>
          <w:b/>
          <w:color w:val="000000" w:themeColor="text1"/>
          <w:sz w:val="24"/>
          <w:szCs w:val="24"/>
          <w:u w:val="single"/>
        </w:rPr>
      </w:pPr>
      <w:r>
        <w:rPr>
          <w:rFonts w:hint="eastAsia" w:ascii="宋体" w:hAnsi="宋体"/>
          <w:b/>
          <w:color w:val="000000" w:themeColor="text1"/>
          <w:sz w:val="24"/>
          <w:szCs w:val="24"/>
          <w:u w:val="single"/>
        </w:rPr>
        <w:t>文件</w:t>
      </w:r>
      <w:r>
        <w:rPr>
          <w:rFonts w:ascii="宋体" w:hAnsi="宋体"/>
          <w:b/>
          <w:color w:val="000000" w:themeColor="text1"/>
          <w:sz w:val="24"/>
          <w:szCs w:val="24"/>
          <w:u w:val="single"/>
        </w:rPr>
        <w:t>1</w:t>
      </w:r>
      <w:r>
        <w:rPr>
          <w:rFonts w:hint="eastAsia" w:ascii="宋体" w:hAnsi="宋体" w:cs="Arial"/>
          <w:b/>
          <w:color w:val="000000" w:themeColor="text1"/>
          <w:sz w:val="24"/>
          <w:szCs w:val="24"/>
          <w:u w:val="single"/>
        </w:rPr>
        <w:t>法人或者其他组织的营业执照等证明文件，自然人的身份证明（清晰可辨的复印件加盖企业公章）。</w:t>
      </w:r>
    </w:p>
    <w:p>
      <w:pPr>
        <w:snapToGrid w:val="0"/>
        <w:spacing w:before="50" w:afterLines="50" w:line="500" w:lineRule="exact"/>
        <w:ind w:firstLine="482" w:firstLineChars="200"/>
        <w:jc w:val="left"/>
        <w:rPr>
          <w:rFonts w:ascii="宋体"/>
          <w:b/>
          <w:color w:val="000000" w:themeColor="text1"/>
          <w:sz w:val="24"/>
          <w:szCs w:val="24"/>
          <w:u w:val="single"/>
        </w:rPr>
      </w:pPr>
      <w:r>
        <w:rPr>
          <w:rFonts w:hint="eastAsia" w:ascii="宋体" w:hAnsi="宋体"/>
          <w:b/>
          <w:color w:val="000000" w:themeColor="text1"/>
          <w:sz w:val="24"/>
          <w:szCs w:val="24"/>
          <w:u w:val="single"/>
        </w:rPr>
        <w:t>文件</w:t>
      </w:r>
      <w:r>
        <w:rPr>
          <w:rFonts w:ascii="宋体" w:hAnsi="宋体"/>
          <w:b/>
          <w:color w:val="000000" w:themeColor="text1"/>
          <w:sz w:val="24"/>
          <w:szCs w:val="24"/>
          <w:u w:val="single"/>
        </w:rPr>
        <w:t>2</w:t>
      </w:r>
      <w:r>
        <w:rPr>
          <w:rFonts w:hint="eastAsia" w:ascii="宋体" w:hAnsi="宋体"/>
          <w:b/>
          <w:color w:val="000000" w:themeColor="text1"/>
          <w:sz w:val="24"/>
          <w:szCs w:val="24"/>
          <w:u w:val="single"/>
        </w:rPr>
        <w:t xml:space="preserve"> 上一年度的</w:t>
      </w:r>
      <w:r>
        <w:rPr>
          <w:rFonts w:hint="eastAsia" w:ascii="宋体" w:hAnsi="宋体" w:cs="Arial"/>
          <w:b/>
          <w:color w:val="000000" w:themeColor="text1"/>
          <w:sz w:val="24"/>
          <w:szCs w:val="24"/>
          <w:u w:val="single"/>
        </w:rPr>
        <w:t>财务报告（表）。（清晰可辨的复印件加盖企业公章，成立不满一年不需提供）</w:t>
      </w:r>
    </w:p>
    <w:p>
      <w:pPr>
        <w:snapToGrid w:val="0"/>
        <w:spacing w:line="500" w:lineRule="exact"/>
        <w:ind w:firstLine="482" w:firstLineChars="200"/>
        <w:rPr>
          <w:rFonts w:ascii="宋体" w:cs="Arial"/>
          <w:b/>
          <w:color w:val="000000" w:themeColor="text1"/>
          <w:sz w:val="24"/>
          <w:szCs w:val="24"/>
          <w:u w:val="single"/>
        </w:rPr>
      </w:pPr>
      <w:r>
        <w:rPr>
          <w:rFonts w:hint="eastAsia" w:ascii="宋体" w:hAnsi="宋体"/>
          <w:b/>
          <w:color w:val="000000" w:themeColor="text1"/>
          <w:sz w:val="24"/>
          <w:szCs w:val="24"/>
          <w:u w:val="single"/>
        </w:rPr>
        <w:t>文件</w:t>
      </w:r>
      <w:r>
        <w:rPr>
          <w:rFonts w:ascii="宋体" w:hAnsi="宋体"/>
          <w:b/>
          <w:color w:val="000000" w:themeColor="text1"/>
          <w:sz w:val="24"/>
          <w:szCs w:val="24"/>
          <w:u w:val="single"/>
        </w:rPr>
        <w:t>3</w:t>
      </w:r>
      <w:r>
        <w:rPr>
          <w:rFonts w:hint="eastAsia" w:ascii="宋体" w:hAnsi="宋体" w:cs="Arial"/>
          <w:b/>
          <w:color w:val="FF0000"/>
          <w:sz w:val="24"/>
          <w:szCs w:val="24"/>
          <w:u w:val="single"/>
        </w:rPr>
        <w:t>依法缴纳税收和社会保障资金的相关材料</w:t>
      </w:r>
      <w:r>
        <w:rPr>
          <w:rFonts w:hint="eastAsia" w:ascii="宋体" w:hAnsi="宋体" w:cs="Arial"/>
          <w:b/>
          <w:color w:val="000000" w:themeColor="text1"/>
          <w:sz w:val="24"/>
          <w:szCs w:val="24"/>
          <w:u w:val="single"/>
        </w:rPr>
        <w:t>（清晰可辨的复印件加盖企业公章）</w:t>
      </w:r>
    </w:p>
    <w:p>
      <w:pPr>
        <w:snapToGrid w:val="0"/>
        <w:spacing w:before="50" w:afterLines="50" w:line="500" w:lineRule="exact"/>
        <w:ind w:firstLine="482" w:firstLineChars="200"/>
        <w:jc w:val="left"/>
        <w:rPr>
          <w:rFonts w:ascii="宋体"/>
          <w:b/>
          <w:color w:val="000000" w:themeColor="text1"/>
          <w:sz w:val="24"/>
          <w:szCs w:val="24"/>
          <w:u w:val="single"/>
        </w:rPr>
      </w:pPr>
      <w:r>
        <w:rPr>
          <w:rFonts w:hint="eastAsia" w:ascii="宋体" w:hAnsi="宋体"/>
          <w:b/>
          <w:color w:val="000000" w:themeColor="text1"/>
          <w:sz w:val="24"/>
          <w:szCs w:val="24"/>
          <w:u w:val="single"/>
        </w:rPr>
        <w:t>文件</w:t>
      </w:r>
      <w:r>
        <w:rPr>
          <w:rFonts w:ascii="宋体" w:hAnsi="宋体"/>
          <w:b/>
          <w:color w:val="000000" w:themeColor="text1"/>
          <w:sz w:val="24"/>
          <w:szCs w:val="24"/>
          <w:u w:val="single"/>
        </w:rPr>
        <w:t>4</w:t>
      </w:r>
      <w:r>
        <w:rPr>
          <w:rFonts w:hint="eastAsia" w:ascii="宋体" w:hAnsi="宋体" w:cs="Arial"/>
          <w:b/>
          <w:color w:val="000000" w:themeColor="text1"/>
          <w:sz w:val="24"/>
          <w:szCs w:val="24"/>
          <w:u w:val="single"/>
        </w:rPr>
        <w:t>具备履行合同所必需的设备和专业技术能力</w:t>
      </w:r>
      <w:r>
        <w:rPr>
          <w:rFonts w:hint="eastAsia" w:ascii="宋体" w:hAnsi="宋体"/>
          <w:b/>
          <w:color w:val="000000" w:themeColor="text1"/>
          <w:sz w:val="24"/>
          <w:szCs w:val="24"/>
          <w:u w:val="single"/>
        </w:rPr>
        <w:t>证明材料</w:t>
      </w:r>
      <w:r>
        <w:rPr>
          <w:rFonts w:hint="eastAsia" w:ascii="宋体" w:hAnsi="宋体" w:cs="Arial"/>
          <w:b/>
          <w:color w:val="000000" w:themeColor="text1"/>
          <w:sz w:val="24"/>
          <w:szCs w:val="24"/>
          <w:u w:val="single"/>
        </w:rPr>
        <w:t>（原件</w:t>
      </w:r>
      <w:r>
        <w:rPr>
          <w:rFonts w:ascii="宋体" w:hAnsi="宋体"/>
          <w:b/>
          <w:color w:val="000000" w:themeColor="text1"/>
          <w:sz w:val="24"/>
          <w:szCs w:val="24"/>
          <w:u w:val="single"/>
        </w:rPr>
        <w:t>,</w:t>
      </w:r>
      <w:r>
        <w:rPr>
          <w:rFonts w:hint="eastAsia" w:ascii="宋体" w:hAnsi="宋体" w:cs="Arial"/>
          <w:b/>
          <w:color w:val="000000" w:themeColor="text1"/>
          <w:sz w:val="24"/>
          <w:szCs w:val="24"/>
          <w:u w:val="single"/>
        </w:rPr>
        <w:t>格式见附表）</w:t>
      </w:r>
    </w:p>
    <w:p>
      <w:pPr>
        <w:snapToGrid w:val="0"/>
        <w:spacing w:line="500" w:lineRule="exact"/>
        <w:ind w:firstLine="482" w:firstLineChars="200"/>
        <w:rPr>
          <w:rFonts w:ascii="宋体" w:hAnsi="宋体" w:cs="Arial"/>
          <w:b/>
          <w:color w:val="000000" w:themeColor="text1"/>
          <w:sz w:val="24"/>
          <w:szCs w:val="24"/>
          <w:u w:val="single"/>
        </w:rPr>
      </w:pPr>
      <w:r>
        <w:rPr>
          <w:rFonts w:hint="eastAsia" w:ascii="宋体" w:hAnsi="宋体"/>
          <w:b/>
          <w:color w:val="000000" w:themeColor="text1"/>
          <w:sz w:val="24"/>
          <w:szCs w:val="24"/>
          <w:u w:val="single"/>
        </w:rPr>
        <w:t>文件</w:t>
      </w:r>
      <w:r>
        <w:rPr>
          <w:rFonts w:ascii="宋体" w:hAnsi="宋体"/>
          <w:b/>
          <w:color w:val="000000" w:themeColor="text1"/>
          <w:sz w:val="24"/>
          <w:szCs w:val="24"/>
          <w:u w:val="single"/>
        </w:rPr>
        <w:t>5</w:t>
      </w:r>
      <w:r>
        <w:rPr>
          <w:rFonts w:hint="eastAsia" w:ascii="宋体" w:hAnsi="宋体" w:cs="Arial"/>
          <w:b/>
          <w:color w:val="000000" w:themeColor="text1"/>
          <w:sz w:val="24"/>
          <w:szCs w:val="24"/>
          <w:u w:val="single"/>
        </w:rPr>
        <w:t>参加政府采购活动前</w:t>
      </w:r>
      <w:r>
        <w:rPr>
          <w:rFonts w:ascii="宋体" w:hAnsi="宋体" w:cs="Arial"/>
          <w:b/>
          <w:color w:val="000000" w:themeColor="text1"/>
          <w:sz w:val="24"/>
          <w:szCs w:val="24"/>
          <w:u w:val="single"/>
        </w:rPr>
        <w:t xml:space="preserve"> 3 </w:t>
      </w:r>
      <w:r>
        <w:rPr>
          <w:rFonts w:hint="eastAsia" w:ascii="宋体" w:hAnsi="宋体" w:cs="Arial"/>
          <w:b/>
          <w:color w:val="000000" w:themeColor="text1"/>
          <w:sz w:val="24"/>
          <w:szCs w:val="24"/>
          <w:u w:val="single"/>
        </w:rPr>
        <w:t>年内在经营活动中没有重大违法记录的书面声明（</w:t>
      </w:r>
      <w:r>
        <w:rPr>
          <w:rFonts w:hint="eastAsia" w:ascii="宋体" w:hAnsi="宋体"/>
          <w:b/>
          <w:color w:val="000000" w:themeColor="text1"/>
          <w:sz w:val="24"/>
          <w:szCs w:val="24"/>
          <w:u w:val="single"/>
        </w:rPr>
        <w:t>原件</w:t>
      </w:r>
      <w:r>
        <w:rPr>
          <w:rFonts w:ascii="宋体" w:hAnsi="宋体"/>
          <w:b/>
          <w:color w:val="000000" w:themeColor="text1"/>
          <w:sz w:val="24"/>
          <w:szCs w:val="24"/>
          <w:u w:val="single"/>
        </w:rPr>
        <w:t>,</w:t>
      </w:r>
      <w:r>
        <w:rPr>
          <w:rFonts w:hint="eastAsia" w:ascii="宋体" w:hAnsi="宋体" w:cs="Arial"/>
          <w:b/>
          <w:color w:val="000000" w:themeColor="text1"/>
          <w:sz w:val="24"/>
          <w:szCs w:val="24"/>
          <w:u w:val="single"/>
        </w:rPr>
        <w:t>格式见附表）</w:t>
      </w:r>
    </w:p>
    <w:p>
      <w:pPr>
        <w:snapToGrid w:val="0"/>
        <w:spacing w:line="500" w:lineRule="exact"/>
        <w:ind w:firstLine="482" w:firstLineChars="200"/>
        <w:rPr>
          <w:rFonts w:ascii="宋体" w:hAnsi="宋体" w:cs="Arial"/>
          <w:b/>
          <w:color w:val="000000" w:themeColor="text1"/>
          <w:sz w:val="24"/>
          <w:szCs w:val="24"/>
          <w:u w:val="single"/>
        </w:rPr>
      </w:pPr>
      <w:r>
        <w:rPr>
          <w:rFonts w:hint="eastAsia" w:ascii="宋体" w:hAnsi="宋体" w:cs="Arial"/>
          <w:b/>
          <w:color w:val="000000" w:themeColor="text1"/>
          <w:sz w:val="24"/>
          <w:szCs w:val="24"/>
          <w:u w:val="single"/>
        </w:rPr>
        <w:t>文件6 法人授权书（原件</w:t>
      </w:r>
      <w:r>
        <w:rPr>
          <w:rFonts w:hint="eastAsia" w:ascii="宋体" w:hAnsi="宋体"/>
          <w:b/>
          <w:color w:val="000000" w:themeColor="text1"/>
          <w:sz w:val="24"/>
          <w:szCs w:val="24"/>
          <w:u w:val="single"/>
        </w:rPr>
        <w:t>,</w:t>
      </w:r>
      <w:r>
        <w:rPr>
          <w:rFonts w:hint="eastAsia" w:ascii="宋体" w:hAnsi="宋体" w:cs="Arial"/>
          <w:b/>
          <w:color w:val="000000" w:themeColor="text1"/>
          <w:sz w:val="24"/>
          <w:szCs w:val="24"/>
          <w:u w:val="single"/>
        </w:rPr>
        <w:t>格式见附表）（如有）</w:t>
      </w:r>
    </w:p>
    <w:p>
      <w:pPr>
        <w:snapToGrid w:val="0"/>
        <w:spacing w:before="50" w:afterLines="50" w:line="500" w:lineRule="exact"/>
        <w:ind w:firstLine="482"/>
        <w:jc w:val="left"/>
        <w:rPr>
          <w:rFonts w:ascii="宋体" w:hAnsi="宋体" w:cs="Arial"/>
          <w:b/>
          <w:color w:val="000000" w:themeColor="text1"/>
          <w:sz w:val="24"/>
          <w:szCs w:val="24"/>
          <w:u w:val="single"/>
        </w:rPr>
      </w:pPr>
      <w:r>
        <w:rPr>
          <w:rFonts w:hint="eastAsia" w:ascii="宋体" w:hAnsi="宋体" w:cs="Arial"/>
          <w:b/>
          <w:sz w:val="24"/>
          <w:szCs w:val="24"/>
          <w:u w:val="single"/>
        </w:rPr>
        <w:t>文件</w:t>
      </w:r>
      <w:r>
        <w:rPr>
          <w:rFonts w:ascii="宋体" w:hAnsi="宋体" w:cs="Arial"/>
          <w:b/>
          <w:sz w:val="24"/>
          <w:szCs w:val="24"/>
          <w:u w:val="single"/>
        </w:rPr>
        <w:t>7</w:t>
      </w:r>
      <w:r>
        <w:rPr>
          <w:rFonts w:hint="eastAsia" w:ascii="宋体" w:hAnsi="宋体" w:cs="Arial"/>
          <w:b/>
          <w:color w:val="000000" w:themeColor="text1"/>
          <w:sz w:val="24"/>
          <w:szCs w:val="24"/>
          <w:u w:val="single"/>
        </w:rPr>
        <w:t>招标文件中规定要求提供的证明材料和投标人认为需要提供的其他材料</w:t>
      </w:r>
    </w:p>
    <w:p>
      <w:pPr>
        <w:snapToGrid w:val="0"/>
        <w:spacing w:before="50" w:afterLines="50"/>
        <w:ind w:firstLine="361" w:firstLineChars="150"/>
        <w:jc w:val="left"/>
        <w:rPr>
          <w:rFonts w:ascii="宋体" w:hAnsi="宋体"/>
          <w:b/>
          <w:color w:val="000000" w:themeColor="text1"/>
          <w:sz w:val="24"/>
          <w:szCs w:val="24"/>
        </w:rPr>
      </w:pPr>
    </w:p>
    <w:p>
      <w:pPr>
        <w:snapToGrid w:val="0"/>
        <w:spacing w:before="50" w:afterLines="50" w:line="500" w:lineRule="exact"/>
        <w:ind w:firstLine="482"/>
        <w:jc w:val="left"/>
        <w:rPr>
          <w:rFonts w:ascii="宋体" w:hAnsi="宋体" w:cs="Arial"/>
          <w:b/>
          <w:sz w:val="24"/>
          <w:szCs w:val="24"/>
          <w:u w:val="single"/>
        </w:rPr>
      </w:pPr>
    </w:p>
    <w:p>
      <w:pPr>
        <w:snapToGrid w:val="0"/>
        <w:spacing w:before="50" w:afterLines="50"/>
        <w:ind w:firstLine="361" w:firstLineChars="150"/>
        <w:jc w:val="left"/>
        <w:rPr>
          <w:rFonts w:ascii="宋体" w:hAnsi="宋体"/>
          <w:b/>
          <w:sz w:val="24"/>
          <w:szCs w:val="24"/>
        </w:rPr>
      </w:pPr>
    </w:p>
    <w:p>
      <w:pPr>
        <w:pStyle w:val="8"/>
        <w:spacing w:line="500" w:lineRule="exact"/>
        <w:ind w:firstLine="0"/>
        <w:jc w:val="center"/>
        <w:rPr>
          <w:rFonts w:ascii="宋体"/>
          <w:b/>
          <w:sz w:val="24"/>
          <w:szCs w:val="24"/>
        </w:rPr>
      </w:pPr>
      <w:bookmarkStart w:id="160" w:name="_Toc120614284"/>
      <w:r>
        <w:rPr>
          <w:rFonts w:ascii="宋体"/>
          <w:sz w:val="24"/>
          <w:szCs w:val="24"/>
        </w:rPr>
        <w:br w:type="page"/>
      </w:r>
      <w:r>
        <w:rPr>
          <w:rFonts w:hint="eastAsia" w:ascii="宋体" w:hAnsi="宋体"/>
          <w:b/>
          <w:sz w:val="36"/>
          <w:szCs w:val="36"/>
        </w:rPr>
        <w:t>具备履行合同所必需的设备和专业技术能力的书面声明</w:t>
      </w:r>
    </w:p>
    <w:p>
      <w:pPr>
        <w:spacing w:line="500" w:lineRule="exact"/>
        <w:ind w:firstLine="492"/>
        <w:rPr>
          <w:rFonts w:ascii="宋体" w:hAnsi="宋体"/>
          <w:bCs/>
          <w:sz w:val="24"/>
          <w:szCs w:val="24"/>
        </w:rPr>
      </w:pPr>
    </w:p>
    <w:p>
      <w:pPr>
        <w:spacing w:line="500" w:lineRule="exact"/>
        <w:ind w:firstLine="492"/>
        <w:rPr>
          <w:rFonts w:ascii="宋体"/>
          <w:bCs/>
          <w:sz w:val="28"/>
          <w:szCs w:val="28"/>
        </w:rPr>
      </w:pPr>
      <w:r>
        <w:rPr>
          <w:rFonts w:hint="eastAsia" w:ascii="宋体" w:hAnsi="宋体"/>
          <w:bCs/>
          <w:sz w:val="28"/>
          <w:szCs w:val="28"/>
        </w:rPr>
        <w:t>我公司郑重声明：我公司具备履行本项采购合同所必需的设备和专业技术能力，为履行本项采购合同我公司具备如下主要设备和主要专业技术能力：</w:t>
      </w:r>
    </w:p>
    <w:p>
      <w:pPr>
        <w:spacing w:line="500" w:lineRule="exact"/>
        <w:ind w:firstLine="492"/>
        <w:rPr>
          <w:rFonts w:ascii="宋体"/>
          <w:bCs/>
          <w:sz w:val="28"/>
          <w:szCs w:val="28"/>
        </w:rPr>
      </w:pPr>
      <w:r>
        <w:rPr>
          <w:rFonts w:hint="eastAsia" w:ascii="宋体" w:hAnsi="宋体"/>
          <w:bCs/>
          <w:sz w:val="28"/>
          <w:szCs w:val="28"/>
        </w:rPr>
        <w:t>主要设备有：。</w:t>
      </w:r>
    </w:p>
    <w:p>
      <w:pPr>
        <w:spacing w:line="500" w:lineRule="exact"/>
        <w:ind w:firstLine="492"/>
        <w:rPr>
          <w:rFonts w:ascii="宋体"/>
          <w:bCs/>
          <w:sz w:val="28"/>
          <w:szCs w:val="28"/>
        </w:rPr>
      </w:pPr>
      <w:r>
        <w:rPr>
          <w:rFonts w:hint="eastAsia" w:ascii="宋体" w:hAnsi="宋体"/>
          <w:bCs/>
          <w:sz w:val="28"/>
          <w:szCs w:val="28"/>
        </w:rPr>
        <w:t>主要专业技术能力有：。</w:t>
      </w:r>
    </w:p>
    <w:p>
      <w:pPr>
        <w:spacing w:line="500" w:lineRule="exact"/>
        <w:rPr>
          <w:rFonts w:ascii="宋体" w:hAnsi="宋体"/>
          <w:bCs/>
          <w:sz w:val="28"/>
          <w:szCs w:val="28"/>
        </w:rPr>
      </w:pPr>
    </w:p>
    <w:p>
      <w:pPr>
        <w:spacing w:line="500" w:lineRule="exact"/>
        <w:rPr>
          <w:rFonts w:ascii="宋体" w:hAnsi="宋体"/>
          <w:bCs/>
          <w:sz w:val="28"/>
          <w:szCs w:val="28"/>
        </w:rPr>
      </w:pPr>
    </w:p>
    <w:p>
      <w:pPr>
        <w:spacing w:line="500" w:lineRule="exact"/>
        <w:rPr>
          <w:rFonts w:ascii="宋体" w:hAnsi="宋体"/>
          <w:bCs/>
          <w:sz w:val="28"/>
          <w:szCs w:val="28"/>
        </w:rPr>
      </w:pPr>
    </w:p>
    <w:p>
      <w:pPr>
        <w:spacing w:line="500" w:lineRule="exact"/>
        <w:ind w:firstLine="6020" w:firstLineChars="2150"/>
        <w:rPr>
          <w:rFonts w:ascii="宋体"/>
          <w:bCs/>
          <w:sz w:val="28"/>
          <w:szCs w:val="28"/>
        </w:rPr>
      </w:pPr>
      <w:r>
        <w:rPr>
          <w:rFonts w:hint="eastAsia" w:ascii="宋体" w:hAnsi="宋体"/>
          <w:bCs/>
          <w:sz w:val="28"/>
          <w:szCs w:val="28"/>
        </w:rPr>
        <w:t>供应商名称（公章）：</w:t>
      </w:r>
    </w:p>
    <w:p>
      <w:pPr>
        <w:spacing w:line="500" w:lineRule="exact"/>
        <w:rPr>
          <w:rFonts w:ascii="宋体"/>
          <w:bCs/>
          <w:sz w:val="28"/>
          <w:szCs w:val="28"/>
        </w:rPr>
      </w:pPr>
    </w:p>
    <w:p>
      <w:pPr>
        <w:spacing w:line="500" w:lineRule="exact"/>
        <w:ind w:firstLine="6020" w:firstLineChars="2150"/>
        <w:rPr>
          <w:rFonts w:ascii="宋体"/>
          <w:bCs/>
          <w:sz w:val="28"/>
          <w:szCs w:val="28"/>
        </w:rPr>
      </w:pPr>
      <w:r>
        <w:rPr>
          <w:rFonts w:hint="eastAsia" w:ascii="宋体" w:hAnsi="宋体"/>
          <w:bCs/>
          <w:sz w:val="28"/>
          <w:szCs w:val="28"/>
        </w:rPr>
        <w:t>日期：  年 月 日</w:t>
      </w:r>
    </w:p>
    <w:p>
      <w:pPr>
        <w:pStyle w:val="8"/>
        <w:spacing w:line="500" w:lineRule="exact"/>
        <w:ind w:firstLine="0"/>
        <w:rPr>
          <w:rFonts w:ascii="宋体"/>
          <w:sz w:val="24"/>
          <w:szCs w:val="24"/>
        </w:rPr>
      </w:pPr>
    </w:p>
    <w:p>
      <w:pPr>
        <w:pStyle w:val="8"/>
        <w:spacing w:line="500" w:lineRule="exact"/>
        <w:ind w:firstLine="0"/>
        <w:rPr>
          <w:rFonts w:ascii="宋体"/>
          <w:sz w:val="24"/>
          <w:szCs w:val="24"/>
        </w:rPr>
      </w:pPr>
    </w:p>
    <w:p>
      <w:pPr>
        <w:pStyle w:val="8"/>
        <w:spacing w:line="500" w:lineRule="exact"/>
        <w:ind w:firstLine="0"/>
        <w:rPr>
          <w:rFonts w:ascii="宋体"/>
          <w:sz w:val="24"/>
          <w:szCs w:val="24"/>
        </w:rPr>
      </w:pPr>
    </w:p>
    <w:p>
      <w:pPr>
        <w:pStyle w:val="8"/>
        <w:spacing w:line="500" w:lineRule="exact"/>
        <w:ind w:firstLine="0"/>
        <w:rPr>
          <w:rFonts w:ascii="宋体"/>
          <w:sz w:val="24"/>
          <w:szCs w:val="24"/>
        </w:rPr>
      </w:pPr>
    </w:p>
    <w:p>
      <w:pPr>
        <w:pStyle w:val="8"/>
        <w:spacing w:line="500" w:lineRule="exact"/>
        <w:ind w:firstLine="0"/>
        <w:rPr>
          <w:rFonts w:ascii="宋体"/>
          <w:sz w:val="24"/>
          <w:szCs w:val="24"/>
        </w:rPr>
      </w:pPr>
    </w:p>
    <w:p>
      <w:pPr>
        <w:pStyle w:val="8"/>
        <w:spacing w:line="500" w:lineRule="exact"/>
        <w:ind w:firstLine="0"/>
        <w:rPr>
          <w:rFonts w:ascii="宋体"/>
          <w:sz w:val="24"/>
          <w:szCs w:val="24"/>
        </w:rPr>
      </w:pPr>
    </w:p>
    <w:p>
      <w:pPr>
        <w:pStyle w:val="8"/>
        <w:spacing w:line="500" w:lineRule="exact"/>
        <w:ind w:firstLine="0"/>
        <w:rPr>
          <w:rFonts w:ascii="宋体"/>
          <w:sz w:val="24"/>
          <w:szCs w:val="24"/>
        </w:rPr>
      </w:pPr>
    </w:p>
    <w:p>
      <w:pPr>
        <w:pStyle w:val="8"/>
        <w:spacing w:line="500" w:lineRule="exact"/>
        <w:ind w:firstLine="0"/>
        <w:rPr>
          <w:rFonts w:ascii="宋体"/>
          <w:sz w:val="24"/>
          <w:szCs w:val="24"/>
        </w:rPr>
      </w:pPr>
    </w:p>
    <w:p>
      <w:pPr>
        <w:pStyle w:val="8"/>
        <w:spacing w:line="500" w:lineRule="exact"/>
        <w:ind w:firstLine="0"/>
        <w:rPr>
          <w:rFonts w:ascii="宋体"/>
          <w:sz w:val="24"/>
          <w:szCs w:val="24"/>
        </w:rPr>
      </w:pPr>
    </w:p>
    <w:p>
      <w:pPr>
        <w:pStyle w:val="8"/>
        <w:spacing w:line="500" w:lineRule="exact"/>
        <w:ind w:firstLine="0"/>
        <w:rPr>
          <w:rFonts w:ascii="宋体"/>
          <w:sz w:val="24"/>
          <w:szCs w:val="24"/>
        </w:rPr>
      </w:pPr>
    </w:p>
    <w:p>
      <w:pPr>
        <w:pStyle w:val="9"/>
        <w:spacing w:line="500" w:lineRule="exact"/>
        <w:rPr>
          <w:rFonts w:ascii="宋体"/>
          <w:b w:val="0"/>
          <w:bCs w:val="0"/>
          <w:kern w:val="0"/>
          <w:sz w:val="24"/>
          <w:szCs w:val="24"/>
        </w:rPr>
      </w:pPr>
    </w:p>
    <w:p>
      <w:pPr>
        <w:pStyle w:val="8"/>
      </w:pPr>
    </w:p>
    <w:p>
      <w:pPr>
        <w:pStyle w:val="9"/>
        <w:spacing w:line="500" w:lineRule="exact"/>
        <w:jc w:val="center"/>
        <w:rPr>
          <w:rFonts w:hint="eastAsia" w:ascii="宋体" w:hAnsi="宋体" w:eastAsia="宋体"/>
          <w:lang w:eastAsia="zh-CN"/>
        </w:rPr>
      </w:pPr>
      <w:r>
        <w:rPr>
          <w:rFonts w:hint="eastAsia" w:ascii="宋体" w:hAnsi="宋体"/>
        </w:rPr>
        <w:t>参加政府采购活动前</w:t>
      </w:r>
      <w:r>
        <w:rPr>
          <w:rFonts w:ascii="宋体" w:hAnsi="宋体"/>
        </w:rPr>
        <w:t xml:space="preserve"> 3 </w:t>
      </w:r>
      <w:r>
        <w:rPr>
          <w:rFonts w:hint="eastAsia" w:ascii="宋体" w:hAnsi="宋体"/>
        </w:rPr>
        <w:t>年内在经营活动中</w:t>
      </w:r>
    </w:p>
    <w:p>
      <w:pPr>
        <w:pStyle w:val="9"/>
        <w:spacing w:line="500" w:lineRule="exact"/>
        <w:jc w:val="center"/>
        <w:rPr>
          <w:rFonts w:ascii="宋体"/>
        </w:rPr>
      </w:pPr>
      <w:r>
        <w:rPr>
          <w:rFonts w:hint="eastAsia" w:ascii="宋体" w:hAnsi="宋体"/>
        </w:rPr>
        <w:t>没有重大违法记录的书面声明</w:t>
      </w:r>
    </w:p>
    <w:p>
      <w:pPr>
        <w:spacing w:line="500" w:lineRule="exact"/>
        <w:rPr>
          <w:rFonts w:ascii="宋体"/>
          <w:b/>
          <w:bCs/>
          <w:sz w:val="24"/>
          <w:szCs w:val="24"/>
        </w:rPr>
      </w:pPr>
    </w:p>
    <w:p>
      <w:pPr>
        <w:spacing w:line="500" w:lineRule="exact"/>
        <w:jc w:val="center"/>
        <w:rPr>
          <w:rFonts w:ascii="宋体"/>
          <w:b/>
          <w:bCs/>
          <w:sz w:val="36"/>
          <w:szCs w:val="36"/>
        </w:rPr>
      </w:pPr>
      <w:r>
        <w:rPr>
          <w:rFonts w:hint="eastAsia" w:ascii="宋体" w:hAnsi="宋体"/>
          <w:b/>
          <w:bCs/>
          <w:sz w:val="36"/>
          <w:szCs w:val="36"/>
        </w:rPr>
        <w:t>声明</w:t>
      </w:r>
    </w:p>
    <w:p>
      <w:pPr>
        <w:spacing w:line="500" w:lineRule="exact"/>
        <w:ind w:firstLine="560" w:firstLineChars="200"/>
        <w:rPr>
          <w:rFonts w:ascii="宋体" w:hAnsi="宋体"/>
          <w:bCs/>
          <w:sz w:val="28"/>
          <w:szCs w:val="28"/>
        </w:rPr>
      </w:pPr>
      <w:r>
        <w:rPr>
          <w:rFonts w:hint="eastAsia" w:ascii="宋体" w:hAnsi="宋体"/>
          <w:bCs/>
          <w:sz w:val="28"/>
          <w:szCs w:val="28"/>
        </w:rPr>
        <w:t>我公司郑重声明：参加本次政府采购活动前</w:t>
      </w:r>
      <w:r>
        <w:rPr>
          <w:rFonts w:ascii="宋体" w:hAnsi="宋体"/>
          <w:bCs/>
          <w:sz w:val="28"/>
          <w:szCs w:val="28"/>
        </w:rPr>
        <w:t xml:space="preserve"> 3 </w:t>
      </w:r>
      <w:r>
        <w:rPr>
          <w:rFonts w:hint="eastAsia" w:ascii="宋体" w:hAnsi="宋体"/>
          <w:bCs/>
          <w:sz w:val="28"/>
          <w:szCs w:val="28"/>
        </w:rPr>
        <w:t>年内，我公司在经营活动中没有因违法经营受到刑事处罚或者责令停产停业、吊销许可证或者执照、较大数额罚款等行政处罚。</w:t>
      </w:r>
    </w:p>
    <w:p>
      <w:pPr>
        <w:spacing w:line="500" w:lineRule="exact"/>
        <w:ind w:firstLine="560" w:firstLineChars="200"/>
        <w:rPr>
          <w:rFonts w:ascii="宋体"/>
          <w:bCs/>
          <w:sz w:val="28"/>
          <w:szCs w:val="28"/>
        </w:rPr>
      </w:pPr>
    </w:p>
    <w:p>
      <w:pPr>
        <w:spacing w:line="500" w:lineRule="exact"/>
        <w:rPr>
          <w:rFonts w:ascii="宋体" w:hAnsi="宋体"/>
          <w:bCs/>
          <w:sz w:val="28"/>
          <w:szCs w:val="28"/>
        </w:rPr>
      </w:pPr>
    </w:p>
    <w:p>
      <w:pPr>
        <w:spacing w:line="500" w:lineRule="exact"/>
        <w:ind w:firstLine="6020" w:firstLineChars="2150"/>
        <w:rPr>
          <w:rFonts w:ascii="宋体"/>
          <w:bCs/>
          <w:sz w:val="28"/>
          <w:szCs w:val="28"/>
        </w:rPr>
      </w:pPr>
      <w:r>
        <w:rPr>
          <w:rFonts w:hint="eastAsia" w:ascii="宋体" w:hAnsi="宋体"/>
          <w:bCs/>
          <w:sz w:val="28"/>
          <w:szCs w:val="28"/>
        </w:rPr>
        <w:t>供应商名称（公章）：</w:t>
      </w:r>
    </w:p>
    <w:p>
      <w:pPr>
        <w:spacing w:line="500" w:lineRule="exact"/>
        <w:ind w:firstLine="6020" w:firstLineChars="2150"/>
        <w:rPr>
          <w:rFonts w:ascii="宋体" w:hAnsi="宋体"/>
          <w:bCs/>
          <w:sz w:val="28"/>
          <w:szCs w:val="28"/>
        </w:rPr>
      </w:pPr>
      <w:r>
        <w:rPr>
          <w:rFonts w:hint="eastAsia" w:ascii="宋体" w:hAnsi="宋体"/>
          <w:bCs/>
          <w:sz w:val="28"/>
          <w:szCs w:val="28"/>
        </w:rPr>
        <w:t>授权代表签字：</w:t>
      </w:r>
    </w:p>
    <w:p>
      <w:pPr>
        <w:spacing w:line="500" w:lineRule="exact"/>
        <w:ind w:firstLine="6160" w:firstLineChars="2200"/>
        <w:rPr>
          <w:rFonts w:ascii="宋体"/>
          <w:bCs/>
          <w:sz w:val="28"/>
          <w:szCs w:val="28"/>
        </w:rPr>
      </w:pPr>
      <w:r>
        <w:rPr>
          <w:rFonts w:hint="eastAsia" w:ascii="宋体" w:hAnsi="宋体"/>
          <w:bCs/>
          <w:sz w:val="28"/>
          <w:szCs w:val="28"/>
        </w:rPr>
        <w:t>日期： 年  月  日</w:t>
      </w:r>
    </w:p>
    <w:p>
      <w:pPr>
        <w:pStyle w:val="8"/>
        <w:spacing w:line="500" w:lineRule="exact"/>
        <w:ind w:firstLine="0"/>
        <w:rPr>
          <w:rFonts w:ascii="宋体"/>
          <w:sz w:val="24"/>
          <w:szCs w:val="24"/>
        </w:rPr>
      </w:pPr>
    </w:p>
    <w:p>
      <w:pPr>
        <w:pStyle w:val="8"/>
        <w:spacing w:line="500" w:lineRule="exact"/>
        <w:ind w:firstLine="0"/>
        <w:rPr>
          <w:rFonts w:ascii="宋体"/>
          <w:sz w:val="24"/>
          <w:szCs w:val="24"/>
        </w:rPr>
      </w:pPr>
    </w:p>
    <w:p>
      <w:pPr>
        <w:pStyle w:val="8"/>
        <w:spacing w:line="500" w:lineRule="exact"/>
        <w:ind w:firstLine="0"/>
        <w:rPr>
          <w:rFonts w:ascii="宋体"/>
          <w:sz w:val="24"/>
          <w:szCs w:val="24"/>
        </w:rPr>
      </w:pPr>
    </w:p>
    <w:p>
      <w:pPr>
        <w:pStyle w:val="8"/>
        <w:spacing w:line="500" w:lineRule="exact"/>
        <w:ind w:firstLine="0"/>
        <w:rPr>
          <w:rFonts w:ascii="宋体"/>
          <w:sz w:val="24"/>
          <w:szCs w:val="24"/>
        </w:rPr>
      </w:pPr>
    </w:p>
    <w:p>
      <w:pPr>
        <w:pStyle w:val="8"/>
        <w:spacing w:line="500" w:lineRule="exact"/>
        <w:ind w:firstLine="0"/>
        <w:rPr>
          <w:rFonts w:ascii="宋体"/>
          <w:sz w:val="24"/>
          <w:szCs w:val="24"/>
        </w:rPr>
      </w:pPr>
    </w:p>
    <w:p>
      <w:pPr>
        <w:pStyle w:val="8"/>
        <w:spacing w:line="500" w:lineRule="exact"/>
        <w:ind w:firstLine="0"/>
        <w:rPr>
          <w:rFonts w:ascii="宋体"/>
          <w:sz w:val="24"/>
          <w:szCs w:val="24"/>
        </w:rPr>
      </w:pPr>
    </w:p>
    <w:p>
      <w:pPr>
        <w:pStyle w:val="8"/>
        <w:spacing w:line="500" w:lineRule="exact"/>
        <w:ind w:firstLine="0"/>
        <w:rPr>
          <w:rFonts w:ascii="宋体"/>
          <w:sz w:val="24"/>
          <w:szCs w:val="24"/>
        </w:rPr>
      </w:pPr>
    </w:p>
    <w:p>
      <w:pPr>
        <w:pStyle w:val="8"/>
        <w:spacing w:line="500" w:lineRule="exact"/>
        <w:ind w:firstLine="0"/>
        <w:rPr>
          <w:rFonts w:ascii="宋体"/>
          <w:sz w:val="24"/>
          <w:szCs w:val="24"/>
        </w:rPr>
      </w:pPr>
    </w:p>
    <w:p>
      <w:pPr>
        <w:pStyle w:val="8"/>
        <w:spacing w:line="500" w:lineRule="exact"/>
        <w:ind w:firstLine="0"/>
        <w:rPr>
          <w:rFonts w:ascii="宋体"/>
          <w:sz w:val="24"/>
          <w:szCs w:val="24"/>
        </w:rPr>
      </w:pPr>
    </w:p>
    <w:p>
      <w:pPr>
        <w:pStyle w:val="8"/>
        <w:spacing w:line="500" w:lineRule="exact"/>
        <w:ind w:firstLine="0"/>
        <w:rPr>
          <w:rFonts w:ascii="宋体"/>
          <w:sz w:val="24"/>
          <w:szCs w:val="24"/>
        </w:rPr>
      </w:pPr>
    </w:p>
    <w:p>
      <w:pPr>
        <w:pStyle w:val="8"/>
        <w:spacing w:line="500" w:lineRule="exact"/>
        <w:ind w:firstLine="0"/>
        <w:rPr>
          <w:rFonts w:ascii="宋体"/>
          <w:sz w:val="24"/>
          <w:szCs w:val="24"/>
        </w:rPr>
      </w:pPr>
    </w:p>
    <w:p>
      <w:pPr>
        <w:pStyle w:val="8"/>
        <w:spacing w:line="500" w:lineRule="exact"/>
        <w:ind w:firstLine="0"/>
        <w:rPr>
          <w:rFonts w:ascii="宋体"/>
          <w:sz w:val="24"/>
          <w:szCs w:val="24"/>
        </w:rPr>
      </w:pPr>
    </w:p>
    <w:p>
      <w:pPr>
        <w:pStyle w:val="8"/>
        <w:spacing w:line="500" w:lineRule="exact"/>
        <w:ind w:firstLine="0"/>
        <w:rPr>
          <w:rFonts w:ascii="宋体"/>
          <w:sz w:val="24"/>
          <w:szCs w:val="24"/>
        </w:rPr>
      </w:pPr>
    </w:p>
    <w:p>
      <w:pPr>
        <w:pStyle w:val="9"/>
        <w:spacing w:line="500" w:lineRule="exact"/>
        <w:jc w:val="center"/>
        <w:rPr>
          <w:rFonts w:ascii="宋体"/>
          <w:sz w:val="36"/>
          <w:szCs w:val="36"/>
        </w:rPr>
      </w:pPr>
      <w:r>
        <w:rPr>
          <w:rFonts w:hint="eastAsia" w:ascii="宋体" w:hAnsi="宋体"/>
          <w:sz w:val="36"/>
          <w:szCs w:val="36"/>
        </w:rPr>
        <w:t>法人授权书</w:t>
      </w:r>
    </w:p>
    <w:p>
      <w:pPr>
        <w:pStyle w:val="95"/>
        <w:shd w:val="clear" w:color="auto" w:fill="auto"/>
        <w:spacing w:line="500" w:lineRule="exact"/>
        <w:ind w:firstLine="480"/>
        <w:rPr>
          <w:rFonts w:ascii="宋体"/>
        </w:rPr>
      </w:pPr>
      <w:r>
        <w:rPr>
          <w:rFonts w:hint="eastAsia" w:ascii="宋体" w:hAnsi="宋体"/>
        </w:rPr>
        <w:t>本授权书声明：</w:t>
      </w:r>
      <w:r>
        <w:rPr>
          <w:rFonts w:ascii="宋体" w:hAnsi="宋体"/>
        </w:rPr>
        <w:t>____________</w:t>
      </w:r>
      <w:r>
        <w:rPr>
          <w:rFonts w:hint="eastAsia" w:ascii="宋体" w:hAnsi="宋体"/>
        </w:rPr>
        <w:t>（供应商名称）授权</w:t>
      </w:r>
      <w:r>
        <w:rPr>
          <w:rFonts w:ascii="宋体" w:hAnsi="宋体"/>
        </w:rPr>
        <w:t>________________</w:t>
      </w:r>
      <w:r>
        <w:rPr>
          <w:rFonts w:hint="eastAsia" w:ascii="宋体" w:hAnsi="宋体"/>
        </w:rPr>
        <w:t>（被授权人姓名）为我方就YDZC- 号项目采购活动的合法代理人，以本公司名义全权处理一切与该项目采购有关的事务。</w:t>
      </w:r>
    </w:p>
    <w:p>
      <w:pPr>
        <w:pStyle w:val="95"/>
        <w:shd w:val="clear" w:color="auto" w:fill="auto"/>
        <w:spacing w:line="500" w:lineRule="exact"/>
        <w:ind w:firstLine="480"/>
        <w:rPr>
          <w:rFonts w:ascii="宋体"/>
        </w:rPr>
      </w:pPr>
      <w:r>
        <w:rPr>
          <w:rFonts w:hint="eastAsia" w:ascii="宋体" w:hAnsi="宋体"/>
        </w:rPr>
        <w:t>本授权书于</w:t>
      </w:r>
      <w:r>
        <w:rPr>
          <w:rFonts w:ascii="宋体" w:hAnsi="宋体"/>
        </w:rPr>
        <w:t>______</w:t>
      </w:r>
      <w:r>
        <w:rPr>
          <w:rFonts w:hint="eastAsia" w:ascii="宋体" w:hAnsi="宋体"/>
        </w:rPr>
        <w:t>年</w:t>
      </w:r>
      <w:r>
        <w:rPr>
          <w:rFonts w:ascii="宋体" w:hAnsi="宋体"/>
        </w:rPr>
        <w:t>____</w:t>
      </w:r>
      <w:r>
        <w:rPr>
          <w:rFonts w:hint="eastAsia" w:ascii="宋体" w:hAnsi="宋体"/>
        </w:rPr>
        <w:t>月</w:t>
      </w:r>
      <w:r>
        <w:rPr>
          <w:rFonts w:ascii="宋体" w:hAnsi="宋体"/>
        </w:rPr>
        <w:t>____</w:t>
      </w:r>
      <w:r>
        <w:rPr>
          <w:rFonts w:hint="eastAsia" w:ascii="宋体" w:hAnsi="宋体"/>
        </w:rPr>
        <w:t>日起生效，特此声明。</w:t>
      </w:r>
    </w:p>
    <w:p>
      <w:pPr>
        <w:pStyle w:val="95"/>
        <w:shd w:val="clear" w:color="auto" w:fill="auto"/>
        <w:spacing w:line="500" w:lineRule="exact"/>
        <w:rPr>
          <w:rFonts w:ascii="宋体"/>
        </w:rPr>
      </w:pPr>
    </w:p>
    <w:p>
      <w:pPr>
        <w:pStyle w:val="95"/>
        <w:shd w:val="clear" w:color="auto" w:fill="auto"/>
        <w:spacing w:line="500" w:lineRule="exact"/>
        <w:ind w:firstLine="1200" w:firstLineChars="500"/>
        <w:rPr>
          <w:rFonts w:ascii="宋体"/>
        </w:rPr>
      </w:pPr>
      <w:r>
        <w:rPr>
          <w:rFonts w:hint="eastAsia" w:ascii="宋体" w:hAnsi="宋体"/>
        </w:rPr>
        <w:t>代理人（被授权人）：</w:t>
      </w:r>
      <w:r>
        <w:rPr>
          <w:rFonts w:ascii="宋体" w:hAnsi="宋体"/>
        </w:rPr>
        <w:t>__________________</w:t>
      </w:r>
      <w:r>
        <w:rPr>
          <w:rFonts w:ascii="宋体" w:hAnsi="宋体"/>
          <w:u w:val="single"/>
        </w:rPr>
        <w:t>___</w:t>
      </w:r>
      <w:r>
        <w:rPr>
          <w:rFonts w:ascii="宋体" w:hAnsi="宋体"/>
        </w:rPr>
        <w:t>__</w:t>
      </w:r>
    </w:p>
    <w:p>
      <w:pPr>
        <w:pStyle w:val="95"/>
        <w:shd w:val="clear" w:color="auto" w:fill="auto"/>
        <w:spacing w:line="500" w:lineRule="exact"/>
        <w:ind w:firstLine="1200" w:firstLineChars="500"/>
        <w:rPr>
          <w:rFonts w:ascii="宋体"/>
        </w:rPr>
      </w:pPr>
      <w:r>
        <w:rPr>
          <w:rFonts w:hint="eastAsia" w:ascii="宋体" w:hAnsi="宋体"/>
        </w:rPr>
        <w:t>单位名称：</w:t>
      </w:r>
      <w:r>
        <w:rPr>
          <w:rFonts w:ascii="宋体" w:hAnsi="宋体"/>
        </w:rPr>
        <w:t>_____________________________________</w:t>
      </w:r>
    </w:p>
    <w:p>
      <w:pPr>
        <w:pStyle w:val="95"/>
        <w:shd w:val="clear" w:color="auto" w:fill="auto"/>
        <w:spacing w:line="500" w:lineRule="exact"/>
        <w:ind w:firstLine="1200" w:firstLineChars="500"/>
        <w:rPr>
          <w:rFonts w:ascii="宋体" w:hAnsi="宋体"/>
        </w:rPr>
      </w:pPr>
      <w:r>
        <w:rPr>
          <w:rFonts w:hint="eastAsia" w:ascii="宋体" w:hAnsi="宋体"/>
        </w:rPr>
        <w:t>授权单位盖章：</w:t>
      </w:r>
      <w:r>
        <w:rPr>
          <w:rFonts w:ascii="宋体" w:hAnsi="宋体"/>
        </w:rPr>
        <w:t>_________________________________</w:t>
      </w:r>
    </w:p>
    <w:p>
      <w:pPr>
        <w:pStyle w:val="95"/>
        <w:shd w:val="clear" w:color="auto" w:fill="auto"/>
        <w:spacing w:line="500" w:lineRule="exact"/>
        <w:ind w:firstLine="1200" w:firstLineChars="500"/>
        <w:rPr>
          <w:rFonts w:ascii="宋体" w:hAnsi="宋体"/>
        </w:rPr>
      </w:pPr>
      <w:r>
        <w:rPr>
          <w:rFonts w:hint="eastAsia" w:ascii="宋体" w:hAnsi="宋体"/>
        </w:rPr>
        <w:t>单位名称：</w:t>
      </w:r>
      <w:r>
        <w:rPr>
          <w:rFonts w:ascii="宋体" w:hAnsi="宋体"/>
        </w:rPr>
        <w:t>_____________________________________</w:t>
      </w:r>
    </w:p>
    <w:p>
      <w:pPr>
        <w:pStyle w:val="95"/>
        <w:shd w:val="clear" w:color="auto" w:fill="auto"/>
        <w:spacing w:line="500" w:lineRule="exact"/>
        <w:ind w:firstLine="1200" w:firstLineChars="500"/>
        <w:rPr>
          <w:rFonts w:ascii="宋体" w:hAnsi="宋体"/>
        </w:rPr>
      </w:pPr>
      <w:r>
        <w:rPr>
          <w:rFonts w:hint="eastAsia" w:ascii="宋体" w:hAnsi="宋体"/>
        </w:rPr>
        <w:t>地址：</w:t>
      </w:r>
      <w:r>
        <w:rPr>
          <w:rFonts w:ascii="宋体" w:hAnsi="宋体"/>
        </w:rPr>
        <w:t xml:space="preserve">_____________________________________                                       </w:t>
      </w:r>
    </w:p>
    <w:p>
      <w:pPr>
        <w:pStyle w:val="95"/>
        <w:shd w:val="clear" w:color="auto" w:fill="auto"/>
        <w:spacing w:line="500" w:lineRule="exact"/>
        <w:ind w:firstLine="1200" w:firstLineChars="500"/>
        <w:rPr>
          <w:rFonts w:ascii="宋体"/>
        </w:rPr>
      </w:pPr>
      <w:r>
        <w:rPr>
          <w:rFonts w:hint="eastAsia" w:ascii="宋体" w:hAnsi="宋体"/>
        </w:rPr>
        <w:t>日期：</w:t>
      </w:r>
      <w:r>
        <w:rPr>
          <w:rFonts w:ascii="宋体" w:hAnsi="宋体"/>
        </w:rPr>
        <w:t xml:space="preserve">_____________________________________ </w:t>
      </w:r>
    </w:p>
    <w:p>
      <w:pPr>
        <w:spacing w:line="560" w:lineRule="exact"/>
        <w:ind w:firstLine="240" w:firstLineChars="100"/>
        <w:jc w:val="center"/>
        <w:rPr>
          <w:rFonts w:ascii="宋体"/>
          <w:sz w:val="24"/>
          <w:szCs w:val="24"/>
        </w:rPr>
      </w:pPr>
      <w:r>
        <w:rPr>
          <w:rFonts w:ascii="宋体"/>
          <w:sz w:val="24"/>
          <w:szCs w:val="24"/>
        </w:rPr>
        <w:br w:type="page"/>
      </w:r>
    </w:p>
    <w:p>
      <w:pPr>
        <w:snapToGrid w:val="0"/>
        <w:spacing w:before="50" w:after="50"/>
        <w:jc w:val="center"/>
        <w:rPr>
          <w:rFonts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二、资格性审查响应对照表（格式）</w:t>
      </w:r>
    </w:p>
    <w:p>
      <w:pPr>
        <w:ind w:firstLine="309"/>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投标人全称（加盖公章）：</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5447"/>
        <w:gridCol w:w="1680"/>
        <w:gridCol w:w="1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46" w:type="dxa"/>
            <w:noWrap/>
            <w:vAlign w:val="center"/>
          </w:tcPr>
          <w:p>
            <w:pPr>
              <w:snapToGrid w:val="0"/>
              <w:spacing w:line="240" w:lineRule="atLeast"/>
              <w:jc w:val="center"/>
              <w:rPr>
                <w:rFonts w:asciiTheme="minorEastAsia" w:hAnsiTheme="minorEastAsia" w:eastAsiaTheme="minorEastAsia" w:cstheme="minorEastAsia"/>
                <w:b/>
                <w:color w:val="000000"/>
              </w:rPr>
            </w:pPr>
            <w:r>
              <w:rPr>
                <w:rFonts w:hint="eastAsia" w:asciiTheme="minorEastAsia" w:hAnsiTheme="minorEastAsia" w:eastAsiaTheme="minorEastAsia" w:cstheme="minorEastAsia"/>
                <w:b/>
                <w:color w:val="000000"/>
              </w:rPr>
              <w:t>序号</w:t>
            </w:r>
          </w:p>
        </w:tc>
        <w:tc>
          <w:tcPr>
            <w:tcW w:w="5447" w:type="dxa"/>
            <w:noWrap/>
            <w:vAlign w:val="center"/>
          </w:tcPr>
          <w:p>
            <w:pPr>
              <w:snapToGrid w:val="0"/>
              <w:spacing w:line="240" w:lineRule="atLeast"/>
              <w:jc w:val="center"/>
              <w:rPr>
                <w:rFonts w:asciiTheme="minorEastAsia" w:hAnsiTheme="minorEastAsia" w:eastAsiaTheme="minorEastAsia" w:cstheme="minorEastAsia"/>
                <w:b/>
                <w:color w:val="000000"/>
              </w:rPr>
            </w:pPr>
            <w:r>
              <w:rPr>
                <w:rFonts w:hint="eastAsia" w:asciiTheme="minorEastAsia" w:hAnsiTheme="minorEastAsia" w:eastAsiaTheme="minorEastAsia" w:cstheme="minorEastAsia"/>
                <w:b/>
                <w:color w:val="000000"/>
              </w:rPr>
              <w:t>资格性审查响应内容</w:t>
            </w:r>
          </w:p>
        </w:tc>
        <w:tc>
          <w:tcPr>
            <w:tcW w:w="1680" w:type="dxa"/>
            <w:noWrap/>
            <w:vAlign w:val="center"/>
          </w:tcPr>
          <w:p>
            <w:pPr>
              <w:snapToGrid w:val="0"/>
              <w:spacing w:line="240" w:lineRule="atLeast"/>
              <w:jc w:val="center"/>
              <w:rPr>
                <w:rFonts w:asciiTheme="minorEastAsia" w:hAnsiTheme="minorEastAsia" w:eastAsiaTheme="minorEastAsia" w:cstheme="minorEastAsia"/>
                <w:b/>
                <w:color w:val="000000"/>
              </w:rPr>
            </w:pPr>
            <w:r>
              <w:rPr>
                <w:rFonts w:hint="eastAsia" w:asciiTheme="minorEastAsia" w:hAnsiTheme="minorEastAsia" w:eastAsiaTheme="minorEastAsia" w:cstheme="minorEastAsia"/>
                <w:b/>
                <w:color w:val="000000"/>
              </w:rPr>
              <w:t>是否响应</w:t>
            </w:r>
          </w:p>
          <w:p>
            <w:pPr>
              <w:snapToGrid w:val="0"/>
              <w:spacing w:line="240" w:lineRule="atLeast"/>
              <w:jc w:val="center"/>
              <w:rPr>
                <w:rFonts w:asciiTheme="minorEastAsia" w:hAnsiTheme="minorEastAsia" w:eastAsiaTheme="minorEastAsia" w:cstheme="minorEastAsia"/>
                <w:b/>
                <w:color w:val="000000"/>
              </w:rPr>
            </w:pPr>
            <w:r>
              <w:rPr>
                <w:rFonts w:hint="eastAsia" w:asciiTheme="minorEastAsia" w:hAnsiTheme="minorEastAsia" w:eastAsiaTheme="minorEastAsia" w:cstheme="minorEastAsia"/>
                <w:b/>
                <w:color w:val="000000"/>
              </w:rPr>
              <w:t>（填是或者否）</w:t>
            </w:r>
          </w:p>
        </w:tc>
        <w:tc>
          <w:tcPr>
            <w:tcW w:w="1785" w:type="dxa"/>
            <w:noWrap/>
            <w:vAlign w:val="center"/>
          </w:tcPr>
          <w:p>
            <w:pPr>
              <w:snapToGrid w:val="0"/>
              <w:spacing w:line="240" w:lineRule="atLeast"/>
              <w:jc w:val="center"/>
              <w:rPr>
                <w:rFonts w:asciiTheme="minorEastAsia" w:hAnsiTheme="minorEastAsia" w:eastAsiaTheme="minorEastAsia" w:cstheme="minorEastAsia"/>
                <w:b/>
                <w:color w:val="000000"/>
              </w:rPr>
            </w:pPr>
            <w:r>
              <w:rPr>
                <w:rFonts w:hint="eastAsia" w:asciiTheme="minorEastAsia" w:hAnsiTheme="minorEastAsia" w:eastAsiaTheme="minorEastAsia" w:cstheme="minorEastAsia"/>
                <w:b/>
                <w:color w:val="000000"/>
              </w:rPr>
              <w:t>投标文件中的</w:t>
            </w:r>
          </w:p>
          <w:p>
            <w:pPr>
              <w:snapToGrid w:val="0"/>
              <w:spacing w:line="240" w:lineRule="atLeast"/>
              <w:jc w:val="center"/>
              <w:rPr>
                <w:rFonts w:asciiTheme="minorEastAsia" w:hAnsiTheme="minorEastAsia" w:eastAsiaTheme="minorEastAsia" w:cstheme="minorEastAsia"/>
                <w:b/>
                <w:color w:val="000000"/>
              </w:rPr>
            </w:pPr>
            <w:r>
              <w:rPr>
                <w:rFonts w:hint="eastAsia" w:asciiTheme="minorEastAsia" w:hAnsiTheme="minorEastAsia" w:eastAsiaTheme="minorEastAsia" w:cstheme="minorEastAsia"/>
                <w:b/>
                <w:color w:val="000000"/>
              </w:rPr>
              <w:t>页码位置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46" w:type="dxa"/>
            <w:noWrap/>
            <w:vAlign w:val="center"/>
          </w:tcPr>
          <w:p>
            <w:pPr>
              <w:rPr>
                <w:rFonts w:asciiTheme="minorEastAsia" w:hAnsiTheme="minorEastAsia" w:eastAsiaTheme="minorEastAsia" w:cstheme="minorEastAsia"/>
                <w:b/>
                <w:color w:val="000000"/>
              </w:rPr>
            </w:pPr>
            <w:r>
              <w:rPr>
                <w:rFonts w:hint="eastAsia" w:asciiTheme="minorEastAsia" w:hAnsiTheme="minorEastAsia" w:eastAsiaTheme="minorEastAsia" w:cstheme="minorEastAsia"/>
                <w:b/>
                <w:color w:val="000000"/>
              </w:rPr>
              <w:t>1</w:t>
            </w:r>
          </w:p>
        </w:tc>
        <w:tc>
          <w:tcPr>
            <w:tcW w:w="5447" w:type="dxa"/>
            <w:noWrap/>
            <w:vAlign w:val="center"/>
          </w:tcPr>
          <w:p>
            <w:pPr>
              <w:spacing w:line="480" w:lineRule="exact"/>
              <w:rPr>
                <w:rFonts w:asciiTheme="minorEastAsia" w:hAnsiTheme="minorEastAsia" w:eastAsiaTheme="minorEastAsia" w:cstheme="minorEastAsia"/>
                <w:iCs/>
                <w:color w:val="000000"/>
                <w:sz w:val="24"/>
                <w:szCs w:val="24"/>
              </w:rPr>
            </w:pPr>
          </w:p>
        </w:tc>
        <w:tc>
          <w:tcPr>
            <w:tcW w:w="1680" w:type="dxa"/>
            <w:noWrap/>
            <w:vAlign w:val="center"/>
          </w:tcPr>
          <w:p>
            <w:pPr>
              <w:rPr>
                <w:rFonts w:asciiTheme="minorEastAsia" w:hAnsiTheme="minorEastAsia" w:eastAsiaTheme="minorEastAsia" w:cstheme="minorEastAsia"/>
                <w:b/>
                <w:color w:val="000000"/>
              </w:rPr>
            </w:pPr>
          </w:p>
        </w:tc>
        <w:tc>
          <w:tcPr>
            <w:tcW w:w="1785" w:type="dxa"/>
            <w:noWrap/>
            <w:vAlign w:val="center"/>
          </w:tcPr>
          <w:p>
            <w:pPr>
              <w:rPr>
                <w:rFonts w:asciiTheme="minorEastAsia" w:hAnsiTheme="minorEastAsia" w:eastAsiaTheme="minorEastAsia" w:cstheme="minorEastAsia"/>
                <w:b/>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46" w:type="dxa"/>
            <w:noWrap/>
            <w:vAlign w:val="center"/>
          </w:tcPr>
          <w:p>
            <w:pPr>
              <w:rPr>
                <w:rFonts w:asciiTheme="minorEastAsia" w:hAnsiTheme="minorEastAsia" w:eastAsiaTheme="minorEastAsia" w:cstheme="minorEastAsia"/>
                <w:color w:val="000000"/>
              </w:rPr>
            </w:pPr>
            <w:r>
              <w:rPr>
                <w:rFonts w:hint="eastAsia" w:asciiTheme="minorEastAsia" w:hAnsiTheme="minorEastAsia" w:eastAsiaTheme="minorEastAsia" w:cstheme="minorEastAsia"/>
                <w:color w:val="000000"/>
              </w:rPr>
              <w:t>2</w:t>
            </w:r>
          </w:p>
        </w:tc>
        <w:tc>
          <w:tcPr>
            <w:tcW w:w="5447" w:type="dxa"/>
            <w:noWrap/>
            <w:vAlign w:val="center"/>
          </w:tcPr>
          <w:p>
            <w:pPr>
              <w:spacing w:line="480" w:lineRule="exact"/>
              <w:rPr>
                <w:rFonts w:asciiTheme="minorEastAsia" w:hAnsiTheme="minorEastAsia" w:eastAsiaTheme="minorEastAsia" w:cstheme="minorEastAsia"/>
                <w:iCs/>
                <w:color w:val="000000"/>
                <w:sz w:val="24"/>
                <w:szCs w:val="24"/>
              </w:rPr>
            </w:pPr>
          </w:p>
        </w:tc>
        <w:tc>
          <w:tcPr>
            <w:tcW w:w="1680" w:type="dxa"/>
            <w:noWrap/>
            <w:vAlign w:val="center"/>
          </w:tcPr>
          <w:p>
            <w:pPr>
              <w:rPr>
                <w:rFonts w:asciiTheme="minorEastAsia" w:hAnsiTheme="minorEastAsia" w:eastAsiaTheme="minorEastAsia" w:cstheme="minorEastAsia"/>
                <w:color w:val="000000"/>
              </w:rPr>
            </w:pPr>
          </w:p>
        </w:tc>
        <w:tc>
          <w:tcPr>
            <w:tcW w:w="1785" w:type="dxa"/>
            <w:noWrap/>
            <w:vAlign w:val="center"/>
          </w:tcPr>
          <w:p>
            <w:pPr>
              <w:rPr>
                <w:rFonts w:asciiTheme="minorEastAsia" w:hAnsiTheme="minorEastAsia" w:eastAsiaTheme="minorEastAsia" w:cstheme="minorEastAsia"/>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46" w:type="dxa"/>
            <w:noWrap/>
            <w:vAlign w:val="center"/>
          </w:tcPr>
          <w:p>
            <w:pPr>
              <w:rPr>
                <w:rFonts w:asciiTheme="minorEastAsia" w:hAnsiTheme="minorEastAsia" w:eastAsiaTheme="minorEastAsia" w:cstheme="minorEastAsia"/>
                <w:color w:val="000000"/>
              </w:rPr>
            </w:pPr>
            <w:r>
              <w:rPr>
                <w:rFonts w:hint="eastAsia" w:asciiTheme="minorEastAsia" w:hAnsiTheme="minorEastAsia" w:eastAsiaTheme="minorEastAsia" w:cstheme="minorEastAsia"/>
                <w:color w:val="000000"/>
              </w:rPr>
              <w:t>3</w:t>
            </w:r>
          </w:p>
        </w:tc>
        <w:tc>
          <w:tcPr>
            <w:tcW w:w="5447" w:type="dxa"/>
            <w:noWrap/>
            <w:vAlign w:val="center"/>
          </w:tcPr>
          <w:p>
            <w:pPr>
              <w:spacing w:line="480" w:lineRule="exact"/>
              <w:rPr>
                <w:rFonts w:asciiTheme="minorEastAsia" w:hAnsiTheme="minorEastAsia" w:eastAsiaTheme="minorEastAsia" w:cstheme="minorEastAsia"/>
                <w:iCs/>
                <w:color w:val="000000"/>
                <w:sz w:val="24"/>
                <w:szCs w:val="24"/>
              </w:rPr>
            </w:pPr>
          </w:p>
        </w:tc>
        <w:tc>
          <w:tcPr>
            <w:tcW w:w="1680" w:type="dxa"/>
            <w:noWrap/>
            <w:vAlign w:val="center"/>
          </w:tcPr>
          <w:p>
            <w:pPr>
              <w:rPr>
                <w:rFonts w:asciiTheme="minorEastAsia" w:hAnsiTheme="minorEastAsia" w:eastAsiaTheme="minorEastAsia" w:cstheme="minorEastAsia"/>
                <w:color w:val="000000"/>
              </w:rPr>
            </w:pPr>
          </w:p>
        </w:tc>
        <w:tc>
          <w:tcPr>
            <w:tcW w:w="1785" w:type="dxa"/>
            <w:noWrap/>
            <w:vAlign w:val="center"/>
          </w:tcPr>
          <w:p>
            <w:pPr>
              <w:rPr>
                <w:rFonts w:asciiTheme="minorEastAsia" w:hAnsiTheme="minorEastAsia" w:eastAsiaTheme="minorEastAsia" w:cstheme="minorEastAsia"/>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6" w:hRule="atLeast"/>
        </w:trPr>
        <w:tc>
          <w:tcPr>
            <w:tcW w:w="646" w:type="dxa"/>
            <w:noWrap/>
            <w:vAlign w:val="center"/>
          </w:tcPr>
          <w:p>
            <w:pPr>
              <w:rPr>
                <w:rFonts w:asciiTheme="minorEastAsia" w:hAnsiTheme="minorEastAsia" w:eastAsiaTheme="minorEastAsia" w:cstheme="minorEastAsia"/>
                <w:color w:val="000000"/>
              </w:rPr>
            </w:pPr>
            <w:r>
              <w:rPr>
                <w:rFonts w:hint="eastAsia" w:asciiTheme="minorEastAsia" w:hAnsiTheme="minorEastAsia" w:eastAsiaTheme="minorEastAsia" w:cstheme="minorEastAsia"/>
                <w:color w:val="000000"/>
              </w:rPr>
              <w:t>4</w:t>
            </w:r>
          </w:p>
        </w:tc>
        <w:tc>
          <w:tcPr>
            <w:tcW w:w="5447" w:type="dxa"/>
            <w:noWrap/>
            <w:vAlign w:val="center"/>
          </w:tcPr>
          <w:p>
            <w:pPr>
              <w:spacing w:line="360" w:lineRule="auto"/>
              <w:rPr>
                <w:rFonts w:asciiTheme="minorEastAsia" w:hAnsiTheme="minorEastAsia" w:eastAsiaTheme="minorEastAsia" w:cstheme="minorEastAsia"/>
                <w:iCs/>
                <w:color w:val="000000"/>
                <w:sz w:val="24"/>
                <w:szCs w:val="24"/>
              </w:rPr>
            </w:pPr>
          </w:p>
        </w:tc>
        <w:tc>
          <w:tcPr>
            <w:tcW w:w="1680" w:type="dxa"/>
            <w:noWrap/>
            <w:vAlign w:val="center"/>
          </w:tcPr>
          <w:p>
            <w:pPr>
              <w:rPr>
                <w:rFonts w:asciiTheme="minorEastAsia" w:hAnsiTheme="minorEastAsia" w:eastAsiaTheme="minorEastAsia" w:cstheme="minorEastAsia"/>
                <w:color w:val="000000"/>
              </w:rPr>
            </w:pPr>
          </w:p>
        </w:tc>
        <w:tc>
          <w:tcPr>
            <w:tcW w:w="1785" w:type="dxa"/>
            <w:noWrap/>
            <w:vAlign w:val="center"/>
          </w:tcPr>
          <w:p>
            <w:pPr>
              <w:rPr>
                <w:rFonts w:asciiTheme="minorEastAsia" w:hAnsiTheme="minorEastAsia" w:eastAsiaTheme="minorEastAsia" w:cstheme="minorEastAsia"/>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5" w:hRule="atLeast"/>
        </w:trPr>
        <w:tc>
          <w:tcPr>
            <w:tcW w:w="646" w:type="dxa"/>
            <w:noWrap/>
            <w:vAlign w:val="center"/>
          </w:tcPr>
          <w:p>
            <w:pPr>
              <w:rPr>
                <w:rFonts w:asciiTheme="minorEastAsia" w:hAnsiTheme="minorEastAsia" w:eastAsiaTheme="minorEastAsia" w:cstheme="minorEastAsia"/>
                <w:color w:val="000000"/>
              </w:rPr>
            </w:pPr>
            <w:r>
              <w:rPr>
                <w:rFonts w:hint="eastAsia" w:asciiTheme="minorEastAsia" w:hAnsiTheme="minorEastAsia" w:eastAsiaTheme="minorEastAsia" w:cstheme="minorEastAsia"/>
                <w:color w:val="000000"/>
              </w:rPr>
              <w:t>5</w:t>
            </w:r>
          </w:p>
        </w:tc>
        <w:tc>
          <w:tcPr>
            <w:tcW w:w="5447" w:type="dxa"/>
            <w:noWrap/>
            <w:vAlign w:val="center"/>
          </w:tcPr>
          <w:p>
            <w:pPr>
              <w:snapToGrid w:val="0"/>
              <w:spacing w:line="590" w:lineRule="atLeast"/>
              <w:rPr>
                <w:rFonts w:asciiTheme="minorEastAsia" w:hAnsiTheme="minorEastAsia" w:eastAsiaTheme="minorEastAsia" w:cstheme="minorEastAsia"/>
                <w:iCs/>
                <w:color w:val="000000"/>
                <w:sz w:val="24"/>
                <w:szCs w:val="24"/>
              </w:rPr>
            </w:pPr>
          </w:p>
        </w:tc>
        <w:tc>
          <w:tcPr>
            <w:tcW w:w="1680" w:type="dxa"/>
            <w:noWrap/>
            <w:vAlign w:val="center"/>
          </w:tcPr>
          <w:p>
            <w:pPr>
              <w:rPr>
                <w:rFonts w:asciiTheme="minorEastAsia" w:hAnsiTheme="minorEastAsia" w:eastAsiaTheme="minorEastAsia" w:cstheme="minorEastAsia"/>
                <w:color w:val="000000"/>
              </w:rPr>
            </w:pPr>
          </w:p>
        </w:tc>
        <w:tc>
          <w:tcPr>
            <w:tcW w:w="1785" w:type="dxa"/>
            <w:noWrap/>
            <w:vAlign w:val="center"/>
          </w:tcPr>
          <w:p>
            <w:pPr>
              <w:rPr>
                <w:rFonts w:asciiTheme="minorEastAsia" w:hAnsiTheme="minorEastAsia" w:eastAsiaTheme="minorEastAsia" w:cstheme="minorEastAsia"/>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6" w:type="dxa"/>
            <w:noWrap/>
            <w:vAlign w:val="center"/>
          </w:tcPr>
          <w:p>
            <w:pPr>
              <w:rPr>
                <w:rFonts w:asciiTheme="minorEastAsia" w:hAnsiTheme="minorEastAsia" w:eastAsiaTheme="minorEastAsia" w:cstheme="minorEastAsia"/>
                <w:color w:val="000000"/>
              </w:rPr>
            </w:pPr>
            <w:r>
              <w:rPr>
                <w:rFonts w:hint="eastAsia" w:asciiTheme="minorEastAsia" w:hAnsiTheme="minorEastAsia" w:eastAsiaTheme="minorEastAsia" w:cstheme="minorEastAsia"/>
                <w:color w:val="000000"/>
              </w:rPr>
              <w:t>6</w:t>
            </w:r>
          </w:p>
        </w:tc>
        <w:tc>
          <w:tcPr>
            <w:tcW w:w="5447" w:type="dxa"/>
            <w:noWrap/>
            <w:vAlign w:val="center"/>
          </w:tcPr>
          <w:p>
            <w:pPr>
              <w:snapToGrid w:val="0"/>
              <w:spacing w:line="590" w:lineRule="atLeast"/>
              <w:rPr>
                <w:rFonts w:asciiTheme="minorEastAsia" w:hAnsiTheme="minorEastAsia" w:eastAsiaTheme="minorEastAsia" w:cstheme="minorEastAsia"/>
                <w:iCs/>
                <w:color w:val="000000"/>
                <w:sz w:val="24"/>
                <w:szCs w:val="24"/>
              </w:rPr>
            </w:pPr>
          </w:p>
        </w:tc>
        <w:tc>
          <w:tcPr>
            <w:tcW w:w="1680" w:type="dxa"/>
            <w:noWrap/>
            <w:vAlign w:val="center"/>
          </w:tcPr>
          <w:p>
            <w:pPr>
              <w:rPr>
                <w:rFonts w:asciiTheme="minorEastAsia" w:hAnsiTheme="minorEastAsia" w:eastAsiaTheme="minorEastAsia" w:cstheme="minorEastAsia"/>
                <w:color w:val="000000"/>
              </w:rPr>
            </w:pPr>
          </w:p>
        </w:tc>
        <w:tc>
          <w:tcPr>
            <w:tcW w:w="1785" w:type="dxa"/>
            <w:noWrap/>
            <w:vAlign w:val="center"/>
          </w:tcPr>
          <w:p>
            <w:pPr>
              <w:rPr>
                <w:rFonts w:asciiTheme="minorEastAsia" w:hAnsiTheme="minorEastAsia" w:eastAsiaTheme="minorEastAsia" w:cstheme="minorEastAsia"/>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46" w:type="dxa"/>
            <w:noWrap/>
            <w:vAlign w:val="center"/>
          </w:tcPr>
          <w:p>
            <w:pPr>
              <w:rPr>
                <w:rFonts w:asciiTheme="minorEastAsia" w:hAnsiTheme="minorEastAsia" w:eastAsiaTheme="minorEastAsia" w:cstheme="minorEastAsia"/>
                <w:color w:val="000000"/>
              </w:rPr>
            </w:pPr>
            <w:r>
              <w:rPr>
                <w:rFonts w:hint="eastAsia" w:asciiTheme="minorEastAsia" w:hAnsiTheme="minorEastAsia" w:eastAsiaTheme="minorEastAsia" w:cstheme="minorEastAsia"/>
                <w:color w:val="000000"/>
              </w:rPr>
              <w:t>7</w:t>
            </w:r>
          </w:p>
        </w:tc>
        <w:tc>
          <w:tcPr>
            <w:tcW w:w="5447" w:type="dxa"/>
            <w:noWrap/>
            <w:vAlign w:val="center"/>
          </w:tcPr>
          <w:p>
            <w:pPr>
              <w:snapToGrid w:val="0"/>
              <w:spacing w:line="590" w:lineRule="atLeast"/>
              <w:rPr>
                <w:rFonts w:asciiTheme="minorEastAsia" w:hAnsiTheme="minorEastAsia" w:eastAsiaTheme="minorEastAsia" w:cstheme="minorEastAsia"/>
                <w:iCs/>
                <w:color w:val="000000"/>
                <w:sz w:val="24"/>
                <w:szCs w:val="24"/>
              </w:rPr>
            </w:pPr>
          </w:p>
        </w:tc>
        <w:tc>
          <w:tcPr>
            <w:tcW w:w="1680" w:type="dxa"/>
            <w:noWrap/>
            <w:vAlign w:val="center"/>
          </w:tcPr>
          <w:p>
            <w:pPr>
              <w:rPr>
                <w:rFonts w:asciiTheme="minorEastAsia" w:hAnsiTheme="minorEastAsia" w:eastAsiaTheme="minorEastAsia" w:cstheme="minorEastAsia"/>
                <w:color w:val="000000"/>
              </w:rPr>
            </w:pPr>
          </w:p>
        </w:tc>
        <w:tc>
          <w:tcPr>
            <w:tcW w:w="1785" w:type="dxa"/>
            <w:noWrap/>
            <w:vAlign w:val="center"/>
          </w:tcPr>
          <w:p>
            <w:pPr>
              <w:rPr>
                <w:rFonts w:asciiTheme="minorEastAsia" w:hAnsiTheme="minorEastAsia" w:eastAsiaTheme="minorEastAsia" w:cstheme="minorEastAsia"/>
                <w:color w:val="000000"/>
              </w:rPr>
            </w:pPr>
          </w:p>
        </w:tc>
      </w:tr>
    </w:tbl>
    <w:p>
      <w:pPr>
        <w:spacing w:line="440" w:lineRule="exact"/>
        <w:ind w:firstLine="480" w:firstLineChars="200"/>
        <w:rPr>
          <w:rFonts w:ascii="宋体" w:hAnsi="宋体"/>
          <w:color w:val="000000"/>
          <w:sz w:val="24"/>
        </w:rPr>
      </w:pPr>
    </w:p>
    <w:p>
      <w:pPr>
        <w:snapToGrid w:val="0"/>
        <w:spacing w:before="50" w:after="50"/>
        <w:rPr>
          <w:rFonts w:ascii="黑体" w:eastAsia="黑体"/>
          <w:color w:val="000000"/>
          <w:sz w:val="44"/>
        </w:rPr>
      </w:pPr>
    </w:p>
    <w:p>
      <w:pPr>
        <w:snapToGrid w:val="0"/>
        <w:spacing w:before="50" w:after="50"/>
        <w:rPr>
          <w:rFonts w:ascii="黑体" w:eastAsia="黑体"/>
          <w:color w:val="000000"/>
          <w:sz w:val="44"/>
        </w:rPr>
      </w:pPr>
    </w:p>
    <w:p>
      <w:pPr>
        <w:snapToGrid w:val="0"/>
        <w:spacing w:before="50" w:after="50"/>
        <w:rPr>
          <w:rFonts w:ascii="黑体" w:eastAsia="黑体"/>
          <w:color w:val="000000"/>
          <w:sz w:val="44"/>
        </w:rPr>
      </w:pPr>
    </w:p>
    <w:p>
      <w:pPr>
        <w:snapToGrid w:val="0"/>
        <w:spacing w:before="50" w:after="50"/>
        <w:rPr>
          <w:rFonts w:ascii="黑体" w:eastAsia="黑体"/>
          <w:color w:val="000000"/>
          <w:sz w:val="44"/>
        </w:rPr>
      </w:pPr>
    </w:p>
    <w:p>
      <w:pPr>
        <w:snapToGrid w:val="0"/>
        <w:spacing w:before="50" w:after="50"/>
        <w:rPr>
          <w:rFonts w:ascii="黑体" w:eastAsia="黑体"/>
          <w:color w:val="000000"/>
          <w:sz w:val="44"/>
        </w:rPr>
      </w:pPr>
    </w:p>
    <w:p>
      <w:pPr>
        <w:snapToGrid w:val="0"/>
        <w:spacing w:before="50" w:after="50"/>
        <w:rPr>
          <w:rFonts w:ascii="黑体" w:eastAsia="黑体"/>
          <w:color w:val="000000"/>
          <w:sz w:val="32"/>
          <w:szCs w:val="32"/>
        </w:rPr>
      </w:pPr>
    </w:p>
    <w:p>
      <w:pPr>
        <w:pStyle w:val="38"/>
        <w:ind w:firstLine="600"/>
      </w:pPr>
    </w:p>
    <w:p>
      <w:pPr>
        <w:snapToGrid w:val="0"/>
        <w:spacing w:before="50" w:after="50"/>
        <w:jc w:val="center"/>
        <w:rPr>
          <w:rFonts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三、符合性检查响应对照表（格式）</w:t>
      </w:r>
    </w:p>
    <w:p>
      <w:pPr>
        <w:ind w:firstLine="309"/>
        <w:rPr>
          <w:rFonts w:ascii="宋体" w:hAnsi="宋体"/>
          <w:color w:val="000000"/>
          <w:sz w:val="24"/>
          <w:szCs w:val="24"/>
        </w:rPr>
      </w:pPr>
      <w:r>
        <w:rPr>
          <w:rFonts w:hint="eastAsia" w:asciiTheme="minorEastAsia" w:hAnsiTheme="minorEastAsia" w:eastAsiaTheme="minorEastAsia" w:cstheme="minorEastAsia"/>
          <w:color w:val="000000"/>
          <w:sz w:val="24"/>
          <w:szCs w:val="24"/>
        </w:rPr>
        <w:t>投标人全称（加盖公章）：</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5447"/>
        <w:gridCol w:w="1680"/>
        <w:gridCol w:w="1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46" w:type="dxa"/>
            <w:noWrap/>
            <w:vAlign w:val="center"/>
          </w:tcPr>
          <w:p>
            <w:pPr>
              <w:snapToGrid w:val="0"/>
              <w:spacing w:line="240" w:lineRule="atLeast"/>
              <w:jc w:val="center"/>
              <w:rPr>
                <w:rFonts w:asciiTheme="minorEastAsia" w:hAnsiTheme="minorEastAsia" w:eastAsiaTheme="minorEastAsia" w:cstheme="minorEastAsia"/>
                <w:b/>
                <w:color w:val="000000"/>
              </w:rPr>
            </w:pPr>
            <w:r>
              <w:rPr>
                <w:rFonts w:hint="eastAsia" w:asciiTheme="minorEastAsia" w:hAnsiTheme="minorEastAsia" w:eastAsiaTheme="minorEastAsia" w:cstheme="minorEastAsia"/>
                <w:b/>
                <w:color w:val="000000"/>
              </w:rPr>
              <w:t>序号</w:t>
            </w:r>
          </w:p>
        </w:tc>
        <w:tc>
          <w:tcPr>
            <w:tcW w:w="5447" w:type="dxa"/>
            <w:noWrap/>
            <w:vAlign w:val="center"/>
          </w:tcPr>
          <w:p>
            <w:pPr>
              <w:snapToGrid w:val="0"/>
              <w:spacing w:line="240" w:lineRule="atLeast"/>
              <w:jc w:val="center"/>
              <w:rPr>
                <w:rFonts w:asciiTheme="minorEastAsia" w:hAnsiTheme="minorEastAsia" w:eastAsiaTheme="minorEastAsia" w:cstheme="minorEastAsia"/>
                <w:b/>
                <w:color w:val="000000"/>
              </w:rPr>
            </w:pPr>
            <w:r>
              <w:rPr>
                <w:rFonts w:hint="eastAsia" w:asciiTheme="minorEastAsia" w:hAnsiTheme="minorEastAsia" w:eastAsiaTheme="minorEastAsia" w:cstheme="minorEastAsia"/>
                <w:b/>
                <w:color w:val="000000"/>
              </w:rPr>
              <w:t>符合性检查响应内容</w:t>
            </w:r>
          </w:p>
        </w:tc>
        <w:tc>
          <w:tcPr>
            <w:tcW w:w="1680" w:type="dxa"/>
            <w:noWrap/>
            <w:vAlign w:val="center"/>
          </w:tcPr>
          <w:p>
            <w:pPr>
              <w:snapToGrid w:val="0"/>
              <w:spacing w:line="240" w:lineRule="atLeast"/>
              <w:jc w:val="center"/>
              <w:rPr>
                <w:rFonts w:asciiTheme="minorEastAsia" w:hAnsiTheme="minorEastAsia" w:eastAsiaTheme="minorEastAsia" w:cstheme="minorEastAsia"/>
                <w:b/>
                <w:color w:val="000000"/>
              </w:rPr>
            </w:pPr>
            <w:r>
              <w:rPr>
                <w:rFonts w:hint="eastAsia" w:asciiTheme="minorEastAsia" w:hAnsiTheme="minorEastAsia" w:eastAsiaTheme="minorEastAsia" w:cstheme="minorEastAsia"/>
                <w:b/>
                <w:color w:val="000000"/>
              </w:rPr>
              <w:t>是否响应</w:t>
            </w:r>
          </w:p>
          <w:p>
            <w:pPr>
              <w:snapToGrid w:val="0"/>
              <w:spacing w:line="240" w:lineRule="atLeast"/>
              <w:jc w:val="center"/>
              <w:rPr>
                <w:rFonts w:asciiTheme="minorEastAsia" w:hAnsiTheme="minorEastAsia" w:eastAsiaTheme="minorEastAsia" w:cstheme="minorEastAsia"/>
                <w:b/>
                <w:color w:val="000000"/>
              </w:rPr>
            </w:pPr>
            <w:r>
              <w:rPr>
                <w:rFonts w:hint="eastAsia" w:asciiTheme="minorEastAsia" w:hAnsiTheme="minorEastAsia" w:eastAsiaTheme="minorEastAsia" w:cstheme="minorEastAsia"/>
                <w:b/>
                <w:color w:val="000000"/>
              </w:rPr>
              <w:t>（填是或者否）</w:t>
            </w:r>
          </w:p>
        </w:tc>
        <w:tc>
          <w:tcPr>
            <w:tcW w:w="1785" w:type="dxa"/>
            <w:noWrap/>
            <w:vAlign w:val="center"/>
          </w:tcPr>
          <w:p>
            <w:pPr>
              <w:snapToGrid w:val="0"/>
              <w:spacing w:line="240" w:lineRule="atLeast"/>
              <w:jc w:val="center"/>
              <w:rPr>
                <w:rFonts w:asciiTheme="minorEastAsia" w:hAnsiTheme="minorEastAsia" w:eastAsiaTheme="minorEastAsia" w:cstheme="minorEastAsia"/>
                <w:b/>
                <w:color w:val="000000"/>
              </w:rPr>
            </w:pPr>
            <w:r>
              <w:rPr>
                <w:rFonts w:hint="eastAsia" w:asciiTheme="minorEastAsia" w:hAnsiTheme="minorEastAsia" w:eastAsiaTheme="minorEastAsia" w:cstheme="minorEastAsia"/>
                <w:b/>
                <w:color w:val="000000"/>
              </w:rPr>
              <w:t>投标文件中的</w:t>
            </w:r>
          </w:p>
          <w:p>
            <w:pPr>
              <w:snapToGrid w:val="0"/>
              <w:spacing w:line="240" w:lineRule="atLeast"/>
              <w:jc w:val="center"/>
              <w:rPr>
                <w:rFonts w:asciiTheme="minorEastAsia" w:hAnsiTheme="minorEastAsia" w:eastAsiaTheme="minorEastAsia" w:cstheme="minorEastAsia"/>
                <w:b/>
                <w:color w:val="000000"/>
              </w:rPr>
            </w:pPr>
            <w:r>
              <w:rPr>
                <w:rFonts w:hint="eastAsia" w:asciiTheme="minorEastAsia" w:hAnsiTheme="minorEastAsia" w:eastAsiaTheme="minorEastAsia" w:cstheme="minorEastAsia"/>
                <w:b/>
                <w:color w:val="000000"/>
              </w:rPr>
              <w:t>页码位置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46" w:type="dxa"/>
            <w:noWrap/>
            <w:vAlign w:val="center"/>
          </w:tcPr>
          <w:p>
            <w:pPr>
              <w:rPr>
                <w:rFonts w:asciiTheme="minorEastAsia" w:hAnsiTheme="minorEastAsia" w:eastAsiaTheme="minorEastAsia" w:cstheme="minorEastAsia"/>
                <w:b/>
                <w:color w:val="000000"/>
              </w:rPr>
            </w:pPr>
            <w:r>
              <w:rPr>
                <w:rFonts w:hint="eastAsia" w:asciiTheme="minorEastAsia" w:hAnsiTheme="minorEastAsia" w:eastAsiaTheme="minorEastAsia" w:cstheme="minorEastAsia"/>
                <w:b/>
                <w:color w:val="000000"/>
              </w:rPr>
              <w:t>1</w:t>
            </w:r>
          </w:p>
        </w:tc>
        <w:tc>
          <w:tcPr>
            <w:tcW w:w="5447" w:type="dxa"/>
            <w:noWrap/>
            <w:vAlign w:val="center"/>
          </w:tcPr>
          <w:p>
            <w:pPr>
              <w:spacing w:line="480" w:lineRule="exact"/>
              <w:rPr>
                <w:rFonts w:asciiTheme="minorEastAsia" w:hAnsiTheme="minorEastAsia" w:eastAsiaTheme="minorEastAsia" w:cstheme="minorEastAsia"/>
                <w:iCs/>
                <w:color w:val="000000"/>
                <w:sz w:val="24"/>
                <w:szCs w:val="24"/>
              </w:rPr>
            </w:pPr>
          </w:p>
        </w:tc>
        <w:tc>
          <w:tcPr>
            <w:tcW w:w="1680" w:type="dxa"/>
            <w:noWrap/>
            <w:vAlign w:val="center"/>
          </w:tcPr>
          <w:p>
            <w:pPr>
              <w:rPr>
                <w:rFonts w:asciiTheme="minorEastAsia" w:hAnsiTheme="minorEastAsia" w:eastAsiaTheme="minorEastAsia" w:cstheme="minorEastAsia"/>
                <w:b/>
                <w:color w:val="000000"/>
              </w:rPr>
            </w:pPr>
          </w:p>
        </w:tc>
        <w:tc>
          <w:tcPr>
            <w:tcW w:w="1785" w:type="dxa"/>
            <w:noWrap/>
            <w:vAlign w:val="center"/>
          </w:tcPr>
          <w:p>
            <w:pPr>
              <w:rPr>
                <w:rFonts w:asciiTheme="minorEastAsia" w:hAnsiTheme="minorEastAsia" w:eastAsiaTheme="minorEastAsia" w:cstheme="minorEastAsia"/>
                <w:b/>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46" w:type="dxa"/>
            <w:noWrap/>
            <w:vAlign w:val="center"/>
          </w:tcPr>
          <w:p>
            <w:pPr>
              <w:rPr>
                <w:rFonts w:asciiTheme="minorEastAsia" w:hAnsiTheme="minorEastAsia" w:eastAsiaTheme="minorEastAsia" w:cstheme="minorEastAsia"/>
                <w:color w:val="000000"/>
              </w:rPr>
            </w:pPr>
            <w:r>
              <w:rPr>
                <w:rFonts w:hint="eastAsia" w:asciiTheme="minorEastAsia" w:hAnsiTheme="minorEastAsia" w:eastAsiaTheme="minorEastAsia" w:cstheme="minorEastAsia"/>
                <w:color w:val="000000"/>
              </w:rPr>
              <w:t>2</w:t>
            </w:r>
          </w:p>
        </w:tc>
        <w:tc>
          <w:tcPr>
            <w:tcW w:w="5447" w:type="dxa"/>
            <w:noWrap/>
            <w:vAlign w:val="center"/>
          </w:tcPr>
          <w:p>
            <w:pPr>
              <w:spacing w:line="480" w:lineRule="exact"/>
              <w:rPr>
                <w:rFonts w:asciiTheme="minorEastAsia" w:hAnsiTheme="minorEastAsia" w:eastAsiaTheme="minorEastAsia" w:cstheme="minorEastAsia"/>
                <w:iCs/>
                <w:color w:val="000000"/>
                <w:sz w:val="24"/>
                <w:szCs w:val="24"/>
              </w:rPr>
            </w:pPr>
          </w:p>
        </w:tc>
        <w:tc>
          <w:tcPr>
            <w:tcW w:w="1680" w:type="dxa"/>
            <w:noWrap/>
            <w:vAlign w:val="center"/>
          </w:tcPr>
          <w:p>
            <w:pPr>
              <w:rPr>
                <w:rFonts w:asciiTheme="minorEastAsia" w:hAnsiTheme="minorEastAsia" w:eastAsiaTheme="minorEastAsia" w:cstheme="minorEastAsia"/>
                <w:color w:val="000000"/>
              </w:rPr>
            </w:pPr>
          </w:p>
        </w:tc>
        <w:tc>
          <w:tcPr>
            <w:tcW w:w="1785" w:type="dxa"/>
            <w:noWrap/>
            <w:vAlign w:val="center"/>
          </w:tcPr>
          <w:p>
            <w:pPr>
              <w:rPr>
                <w:rFonts w:asciiTheme="minorEastAsia" w:hAnsiTheme="minorEastAsia" w:eastAsiaTheme="minorEastAsia" w:cstheme="minorEastAsia"/>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46" w:type="dxa"/>
            <w:noWrap/>
            <w:vAlign w:val="center"/>
          </w:tcPr>
          <w:p>
            <w:pPr>
              <w:rPr>
                <w:rFonts w:asciiTheme="minorEastAsia" w:hAnsiTheme="minorEastAsia" w:eastAsiaTheme="minorEastAsia" w:cstheme="minorEastAsia"/>
                <w:color w:val="000000"/>
              </w:rPr>
            </w:pPr>
            <w:r>
              <w:rPr>
                <w:rFonts w:hint="eastAsia" w:asciiTheme="minorEastAsia" w:hAnsiTheme="minorEastAsia" w:eastAsiaTheme="minorEastAsia" w:cstheme="minorEastAsia"/>
                <w:color w:val="000000"/>
              </w:rPr>
              <w:t>3</w:t>
            </w:r>
          </w:p>
        </w:tc>
        <w:tc>
          <w:tcPr>
            <w:tcW w:w="5447" w:type="dxa"/>
            <w:noWrap/>
            <w:vAlign w:val="center"/>
          </w:tcPr>
          <w:p>
            <w:pPr>
              <w:spacing w:line="480" w:lineRule="exact"/>
              <w:rPr>
                <w:rFonts w:asciiTheme="minorEastAsia" w:hAnsiTheme="minorEastAsia" w:eastAsiaTheme="minorEastAsia" w:cstheme="minorEastAsia"/>
                <w:iCs/>
                <w:color w:val="000000"/>
                <w:sz w:val="24"/>
                <w:szCs w:val="24"/>
              </w:rPr>
            </w:pPr>
          </w:p>
        </w:tc>
        <w:tc>
          <w:tcPr>
            <w:tcW w:w="1680" w:type="dxa"/>
            <w:noWrap/>
            <w:vAlign w:val="center"/>
          </w:tcPr>
          <w:p>
            <w:pPr>
              <w:rPr>
                <w:rFonts w:asciiTheme="minorEastAsia" w:hAnsiTheme="minorEastAsia" w:eastAsiaTheme="minorEastAsia" w:cstheme="minorEastAsia"/>
                <w:color w:val="000000"/>
              </w:rPr>
            </w:pPr>
          </w:p>
        </w:tc>
        <w:tc>
          <w:tcPr>
            <w:tcW w:w="1785" w:type="dxa"/>
            <w:noWrap/>
            <w:vAlign w:val="center"/>
          </w:tcPr>
          <w:p>
            <w:pPr>
              <w:rPr>
                <w:rFonts w:asciiTheme="minorEastAsia" w:hAnsiTheme="minorEastAsia" w:eastAsiaTheme="minorEastAsia" w:cstheme="minorEastAsia"/>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6" w:hRule="atLeast"/>
        </w:trPr>
        <w:tc>
          <w:tcPr>
            <w:tcW w:w="646" w:type="dxa"/>
            <w:noWrap/>
            <w:vAlign w:val="center"/>
          </w:tcPr>
          <w:p>
            <w:pPr>
              <w:rPr>
                <w:rFonts w:asciiTheme="minorEastAsia" w:hAnsiTheme="minorEastAsia" w:eastAsiaTheme="minorEastAsia" w:cstheme="minorEastAsia"/>
                <w:color w:val="000000"/>
              </w:rPr>
            </w:pPr>
            <w:r>
              <w:rPr>
                <w:rFonts w:hint="eastAsia" w:asciiTheme="minorEastAsia" w:hAnsiTheme="minorEastAsia" w:eastAsiaTheme="minorEastAsia" w:cstheme="minorEastAsia"/>
                <w:color w:val="000000"/>
              </w:rPr>
              <w:t>4</w:t>
            </w:r>
          </w:p>
        </w:tc>
        <w:tc>
          <w:tcPr>
            <w:tcW w:w="5447" w:type="dxa"/>
            <w:noWrap/>
            <w:vAlign w:val="center"/>
          </w:tcPr>
          <w:p>
            <w:pPr>
              <w:spacing w:line="360" w:lineRule="auto"/>
              <w:rPr>
                <w:rFonts w:asciiTheme="minorEastAsia" w:hAnsiTheme="minorEastAsia" w:eastAsiaTheme="minorEastAsia" w:cstheme="minorEastAsia"/>
                <w:iCs/>
                <w:color w:val="000000"/>
                <w:sz w:val="24"/>
                <w:szCs w:val="24"/>
              </w:rPr>
            </w:pPr>
          </w:p>
        </w:tc>
        <w:tc>
          <w:tcPr>
            <w:tcW w:w="1680" w:type="dxa"/>
            <w:noWrap/>
            <w:vAlign w:val="center"/>
          </w:tcPr>
          <w:p>
            <w:pPr>
              <w:rPr>
                <w:rFonts w:asciiTheme="minorEastAsia" w:hAnsiTheme="minorEastAsia" w:eastAsiaTheme="minorEastAsia" w:cstheme="minorEastAsia"/>
                <w:color w:val="000000"/>
              </w:rPr>
            </w:pPr>
          </w:p>
        </w:tc>
        <w:tc>
          <w:tcPr>
            <w:tcW w:w="1785" w:type="dxa"/>
            <w:noWrap/>
            <w:vAlign w:val="center"/>
          </w:tcPr>
          <w:p>
            <w:pPr>
              <w:rPr>
                <w:rFonts w:asciiTheme="minorEastAsia" w:hAnsiTheme="minorEastAsia" w:eastAsiaTheme="minorEastAsia" w:cstheme="minorEastAsia"/>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5" w:hRule="atLeast"/>
        </w:trPr>
        <w:tc>
          <w:tcPr>
            <w:tcW w:w="646" w:type="dxa"/>
            <w:noWrap/>
            <w:vAlign w:val="center"/>
          </w:tcPr>
          <w:p>
            <w:pPr>
              <w:rPr>
                <w:rFonts w:ascii="宋体" w:hAnsi="宋体"/>
                <w:color w:val="000000"/>
              </w:rPr>
            </w:pPr>
            <w:r>
              <w:rPr>
                <w:rFonts w:hint="eastAsia" w:ascii="宋体" w:hAnsi="宋体"/>
                <w:color w:val="000000"/>
              </w:rPr>
              <w:t>5</w:t>
            </w:r>
          </w:p>
        </w:tc>
        <w:tc>
          <w:tcPr>
            <w:tcW w:w="5447" w:type="dxa"/>
            <w:noWrap/>
            <w:vAlign w:val="center"/>
          </w:tcPr>
          <w:p>
            <w:pPr>
              <w:snapToGrid w:val="0"/>
              <w:spacing w:line="590" w:lineRule="atLeast"/>
              <w:rPr>
                <w:rFonts w:ascii="宋体" w:hAnsi="宋体"/>
                <w:iCs/>
                <w:color w:val="000000"/>
                <w:sz w:val="24"/>
                <w:szCs w:val="24"/>
              </w:rPr>
            </w:pPr>
          </w:p>
        </w:tc>
        <w:tc>
          <w:tcPr>
            <w:tcW w:w="1680" w:type="dxa"/>
            <w:noWrap/>
            <w:vAlign w:val="center"/>
          </w:tcPr>
          <w:p>
            <w:pPr>
              <w:rPr>
                <w:rFonts w:ascii="宋体" w:hAnsi="宋体"/>
                <w:color w:val="000000"/>
              </w:rPr>
            </w:pPr>
          </w:p>
        </w:tc>
        <w:tc>
          <w:tcPr>
            <w:tcW w:w="1785" w:type="dxa"/>
            <w:noWrap/>
            <w:vAlign w:val="center"/>
          </w:tcPr>
          <w:p>
            <w:pP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6" w:type="dxa"/>
            <w:noWrap/>
            <w:vAlign w:val="center"/>
          </w:tcPr>
          <w:p>
            <w:pPr>
              <w:rPr>
                <w:rFonts w:ascii="宋体" w:hAnsi="宋体"/>
                <w:color w:val="000000"/>
              </w:rPr>
            </w:pPr>
            <w:r>
              <w:rPr>
                <w:rFonts w:hint="eastAsia" w:ascii="宋体" w:hAnsi="宋体"/>
                <w:color w:val="000000"/>
              </w:rPr>
              <w:t>6</w:t>
            </w:r>
          </w:p>
        </w:tc>
        <w:tc>
          <w:tcPr>
            <w:tcW w:w="5447" w:type="dxa"/>
            <w:noWrap/>
            <w:vAlign w:val="center"/>
          </w:tcPr>
          <w:p>
            <w:pPr>
              <w:snapToGrid w:val="0"/>
              <w:spacing w:line="590" w:lineRule="atLeast"/>
              <w:rPr>
                <w:rFonts w:ascii="宋体" w:hAnsi="宋体"/>
                <w:iCs/>
                <w:color w:val="000000"/>
                <w:sz w:val="24"/>
                <w:szCs w:val="24"/>
              </w:rPr>
            </w:pPr>
          </w:p>
        </w:tc>
        <w:tc>
          <w:tcPr>
            <w:tcW w:w="1680" w:type="dxa"/>
            <w:noWrap/>
            <w:vAlign w:val="center"/>
          </w:tcPr>
          <w:p>
            <w:pPr>
              <w:rPr>
                <w:rFonts w:ascii="宋体" w:hAnsi="宋体"/>
                <w:color w:val="000000"/>
              </w:rPr>
            </w:pPr>
          </w:p>
        </w:tc>
        <w:tc>
          <w:tcPr>
            <w:tcW w:w="1785" w:type="dxa"/>
            <w:noWrap/>
            <w:vAlign w:val="center"/>
          </w:tcPr>
          <w:p>
            <w:pP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46" w:type="dxa"/>
            <w:noWrap/>
            <w:vAlign w:val="center"/>
          </w:tcPr>
          <w:p>
            <w:pPr>
              <w:rPr>
                <w:rFonts w:ascii="宋体" w:hAnsi="宋体"/>
                <w:color w:val="000000"/>
              </w:rPr>
            </w:pPr>
            <w:r>
              <w:rPr>
                <w:rFonts w:hint="eastAsia" w:ascii="宋体" w:hAnsi="宋体"/>
                <w:color w:val="000000"/>
              </w:rPr>
              <w:t>7</w:t>
            </w:r>
          </w:p>
        </w:tc>
        <w:tc>
          <w:tcPr>
            <w:tcW w:w="5447" w:type="dxa"/>
            <w:noWrap/>
            <w:vAlign w:val="center"/>
          </w:tcPr>
          <w:p>
            <w:pPr>
              <w:snapToGrid w:val="0"/>
              <w:spacing w:line="590" w:lineRule="atLeast"/>
              <w:rPr>
                <w:rFonts w:ascii="宋体" w:hAnsi="宋体"/>
                <w:iCs/>
                <w:color w:val="000000"/>
                <w:sz w:val="24"/>
                <w:szCs w:val="24"/>
              </w:rPr>
            </w:pPr>
            <w:r>
              <w:rPr>
                <w:rFonts w:hint="eastAsia" w:ascii="宋体" w:hAnsi="宋体"/>
                <w:iCs/>
                <w:color w:val="000000"/>
                <w:sz w:val="24"/>
                <w:szCs w:val="24"/>
              </w:rPr>
              <w:t>招标文件中的其他实质性要求</w:t>
            </w:r>
          </w:p>
        </w:tc>
        <w:tc>
          <w:tcPr>
            <w:tcW w:w="1680" w:type="dxa"/>
            <w:noWrap/>
            <w:vAlign w:val="center"/>
          </w:tcPr>
          <w:p>
            <w:pPr>
              <w:rPr>
                <w:rFonts w:ascii="宋体" w:hAnsi="宋体"/>
                <w:color w:val="000000"/>
              </w:rPr>
            </w:pPr>
          </w:p>
        </w:tc>
        <w:tc>
          <w:tcPr>
            <w:tcW w:w="1785" w:type="dxa"/>
            <w:noWrap/>
            <w:vAlign w:val="center"/>
          </w:tcPr>
          <w:p>
            <w:pPr>
              <w:rPr>
                <w:rFonts w:ascii="宋体" w:hAnsi="宋体"/>
                <w:color w:val="000000"/>
              </w:rPr>
            </w:pPr>
          </w:p>
        </w:tc>
      </w:tr>
    </w:tbl>
    <w:p>
      <w:pPr>
        <w:pStyle w:val="7"/>
        <w:spacing w:line="500" w:lineRule="exact"/>
        <w:rPr>
          <w:rFonts w:ascii="宋体" w:hAnsi="宋体" w:eastAsia="宋体"/>
          <w:b w:val="0"/>
          <w:sz w:val="36"/>
          <w:szCs w:val="36"/>
        </w:rPr>
      </w:pPr>
    </w:p>
    <w:p>
      <w:pPr>
        <w:pStyle w:val="7"/>
        <w:spacing w:line="500" w:lineRule="exact"/>
        <w:rPr>
          <w:rFonts w:ascii="宋体" w:hAnsi="宋体" w:eastAsia="宋体"/>
          <w:b w:val="0"/>
          <w:sz w:val="36"/>
          <w:szCs w:val="36"/>
        </w:rPr>
      </w:pPr>
    </w:p>
    <w:p>
      <w:pPr>
        <w:pStyle w:val="7"/>
        <w:spacing w:line="500" w:lineRule="exact"/>
        <w:rPr>
          <w:rFonts w:ascii="宋体" w:hAnsi="宋体" w:eastAsia="宋体"/>
          <w:b w:val="0"/>
          <w:sz w:val="36"/>
          <w:szCs w:val="36"/>
        </w:rPr>
      </w:pPr>
    </w:p>
    <w:p>
      <w:pPr>
        <w:pStyle w:val="7"/>
        <w:spacing w:line="500" w:lineRule="exact"/>
        <w:rPr>
          <w:rFonts w:ascii="宋体" w:hAnsi="宋体" w:eastAsia="宋体"/>
          <w:b w:val="0"/>
          <w:sz w:val="36"/>
          <w:szCs w:val="36"/>
        </w:rPr>
      </w:pPr>
    </w:p>
    <w:p>
      <w:pPr>
        <w:pStyle w:val="7"/>
        <w:spacing w:line="500" w:lineRule="exact"/>
        <w:jc w:val="both"/>
        <w:rPr>
          <w:rFonts w:ascii="宋体" w:hAnsi="宋体" w:eastAsia="宋体"/>
          <w:b w:val="0"/>
          <w:sz w:val="36"/>
          <w:szCs w:val="36"/>
        </w:rPr>
      </w:pPr>
    </w:p>
    <w:p>
      <w:pPr>
        <w:rPr>
          <w:rFonts w:ascii="宋体" w:hAnsi="宋体"/>
          <w:sz w:val="36"/>
          <w:szCs w:val="36"/>
        </w:rPr>
      </w:pPr>
    </w:p>
    <w:p>
      <w:pPr>
        <w:jc w:val="center"/>
        <w:rPr>
          <w:rFonts w:ascii="宋体" w:hAnsi="宋体"/>
          <w:sz w:val="36"/>
          <w:szCs w:val="36"/>
        </w:rPr>
      </w:pPr>
      <w:r>
        <w:rPr>
          <w:rFonts w:hint="eastAsia" w:ascii="宋体" w:hAnsi="宋体"/>
          <w:b/>
          <w:bCs/>
          <w:sz w:val="36"/>
          <w:szCs w:val="36"/>
        </w:rPr>
        <w:t>四、投标函（格式）</w:t>
      </w:r>
    </w:p>
    <w:p>
      <w:pPr>
        <w:pStyle w:val="82"/>
        <w:spacing w:before="0" w:after="0" w:line="480" w:lineRule="exact"/>
        <w:ind w:firstLine="0"/>
        <w:rPr>
          <w:rFonts w:ascii="宋体" w:hAnsi="宋体"/>
          <w:kern w:val="2"/>
          <w:u w:val="single"/>
        </w:rPr>
      </w:pPr>
      <w:r>
        <w:rPr>
          <w:rFonts w:hint="eastAsia" w:ascii="宋体" w:hAnsi="宋体"/>
          <w:kern w:val="2"/>
        </w:rPr>
        <w:t>致：</w:t>
      </w:r>
      <w:r>
        <w:rPr>
          <w:rFonts w:hint="eastAsia" w:ascii="宋体" w:hAnsi="宋体"/>
          <w:kern w:val="2"/>
          <w:u w:val="single"/>
        </w:rPr>
        <w:t xml:space="preserve">           （采购人名称）</w:t>
      </w:r>
    </w:p>
    <w:p>
      <w:pPr>
        <w:pStyle w:val="82"/>
        <w:spacing w:before="0" w:after="0" w:line="420" w:lineRule="exact"/>
        <w:ind w:firstLineChars="200"/>
        <w:rPr>
          <w:rFonts w:ascii="宋体" w:hAnsi="宋体"/>
          <w:color w:val="000000"/>
          <w:kern w:val="2"/>
          <w:szCs w:val="21"/>
        </w:rPr>
      </w:pPr>
      <w:r>
        <w:rPr>
          <w:rFonts w:hint="eastAsia" w:ascii="宋体" w:hAnsi="宋体"/>
          <w:color w:val="000000"/>
          <w:kern w:val="2"/>
          <w:szCs w:val="21"/>
        </w:rPr>
        <w:t>根据贵方的号招标文件，正式授权下述签字人_________________(姓名)代表我方______________（投标人的名称），全权处理本次项目投标的有关事宜。</w:t>
      </w:r>
    </w:p>
    <w:p>
      <w:pPr>
        <w:pStyle w:val="82"/>
        <w:spacing w:before="0" w:after="0" w:line="420" w:lineRule="exact"/>
        <w:ind w:firstLineChars="200"/>
        <w:rPr>
          <w:rFonts w:ascii="宋体" w:hAnsi="宋体"/>
          <w:color w:val="000000"/>
          <w:kern w:val="2"/>
          <w:szCs w:val="21"/>
        </w:rPr>
      </w:pPr>
      <w:r>
        <w:rPr>
          <w:rFonts w:hint="eastAsia" w:ascii="宋体" w:hAnsi="宋体"/>
          <w:color w:val="000000"/>
          <w:kern w:val="2"/>
          <w:szCs w:val="21"/>
        </w:rPr>
        <w:t>据此函，__________签字人兹宣布同意如下：</w:t>
      </w:r>
    </w:p>
    <w:p>
      <w:pPr>
        <w:pStyle w:val="82"/>
        <w:spacing w:before="0" w:after="0" w:line="420" w:lineRule="exact"/>
        <w:rPr>
          <w:rFonts w:ascii="宋体" w:hAnsi="宋体"/>
          <w:color w:val="000000"/>
          <w:kern w:val="2"/>
          <w:szCs w:val="21"/>
        </w:rPr>
      </w:pPr>
      <w:r>
        <w:rPr>
          <w:rFonts w:hint="eastAsia" w:ascii="宋体" w:hAnsi="宋体"/>
          <w:color w:val="000000"/>
          <w:kern w:val="2"/>
          <w:szCs w:val="21"/>
        </w:rPr>
        <w:t>1.按招标文件规定的各项要求，向买方提供所需货物与服务。</w:t>
      </w:r>
    </w:p>
    <w:p>
      <w:pPr>
        <w:pStyle w:val="82"/>
        <w:spacing w:before="0" w:after="0" w:line="420" w:lineRule="exact"/>
        <w:ind w:firstLineChars="200"/>
        <w:rPr>
          <w:rFonts w:ascii="宋体" w:hAnsi="宋体"/>
          <w:color w:val="000000"/>
          <w:kern w:val="2"/>
          <w:szCs w:val="21"/>
        </w:rPr>
      </w:pPr>
      <w:r>
        <w:rPr>
          <w:rFonts w:hint="eastAsia" w:ascii="宋体" w:hAnsi="宋体"/>
          <w:color w:val="000000"/>
          <w:kern w:val="2"/>
          <w:szCs w:val="21"/>
        </w:rPr>
        <w:t>2.我们完全理解贵方不一定将合同授予最低报价的投标人。</w:t>
      </w:r>
    </w:p>
    <w:p>
      <w:pPr>
        <w:pStyle w:val="82"/>
        <w:spacing w:before="0" w:after="0" w:line="420" w:lineRule="exact"/>
        <w:ind w:firstLineChars="200"/>
        <w:rPr>
          <w:rFonts w:ascii="宋体" w:hAnsi="宋体"/>
          <w:color w:val="000000"/>
          <w:kern w:val="2"/>
          <w:szCs w:val="21"/>
        </w:rPr>
      </w:pPr>
      <w:r>
        <w:rPr>
          <w:rFonts w:hint="eastAsia" w:ascii="宋体" w:hAnsi="宋体"/>
          <w:color w:val="000000"/>
          <w:kern w:val="2"/>
          <w:szCs w:val="21"/>
        </w:rPr>
        <w:t>3.我们已详细审核全部招标文件及其有效补充文件，我们知道必须放弃提出含糊不清或误解问题的权利。</w:t>
      </w:r>
    </w:p>
    <w:p>
      <w:pPr>
        <w:pStyle w:val="82"/>
        <w:spacing w:before="0" w:after="0" w:line="420" w:lineRule="exact"/>
        <w:rPr>
          <w:rFonts w:ascii="宋体" w:hAnsi="宋体"/>
          <w:color w:val="000000"/>
          <w:kern w:val="2"/>
          <w:szCs w:val="21"/>
        </w:rPr>
      </w:pPr>
      <w:r>
        <w:rPr>
          <w:rFonts w:hint="eastAsia" w:ascii="宋体" w:hAnsi="宋体"/>
          <w:color w:val="000000"/>
          <w:kern w:val="2"/>
          <w:szCs w:val="21"/>
        </w:rPr>
        <w:t>4.我们同意从规定的开标日期起遵循本投标文件，并在规定的投标有效期期满之前均具有约束力。</w:t>
      </w:r>
    </w:p>
    <w:p>
      <w:pPr>
        <w:pStyle w:val="82"/>
        <w:spacing w:before="0" w:after="0" w:line="420" w:lineRule="exact"/>
        <w:rPr>
          <w:rFonts w:ascii="宋体" w:hAnsi="宋体"/>
          <w:color w:val="000000"/>
          <w:kern w:val="2"/>
          <w:szCs w:val="21"/>
        </w:rPr>
      </w:pPr>
      <w:r>
        <w:rPr>
          <w:rFonts w:hint="eastAsia" w:ascii="宋体" w:hAnsi="宋体"/>
          <w:color w:val="000000"/>
          <w:kern w:val="2"/>
          <w:szCs w:val="21"/>
        </w:rPr>
        <w:t>5.如果在开标后规定的投标有效期内撤回投标或中标后拒绝签订合同，则按照国家相关法律法规受到相应处罚。</w:t>
      </w:r>
    </w:p>
    <w:p>
      <w:pPr>
        <w:pStyle w:val="82"/>
        <w:spacing w:before="0" w:after="0" w:line="420" w:lineRule="exact"/>
        <w:rPr>
          <w:rFonts w:ascii="宋体" w:hAnsi="宋体"/>
          <w:color w:val="000000"/>
          <w:kern w:val="2"/>
          <w:szCs w:val="21"/>
        </w:rPr>
      </w:pPr>
      <w:r>
        <w:rPr>
          <w:rFonts w:hint="eastAsia" w:ascii="宋体" w:hAnsi="宋体"/>
          <w:color w:val="000000"/>
          <w:kern w:val="2"/>
          <w:szCs w:val="21"/>
        </w:rPr>
        <w:t>6.同意向贵方提供贵方可能另外要求的与投标有关的任何证据或资料，并保证我方已提供和将要提供的文件是真实的、准确的。</w:t>
      </w:r>
    </w:p>
    <w:p>
      <w:pPr>
        <w:pStyle w:val="82"/>
        <w:spacing w:before="0" w:after="0" w:line="420" w:lineRule="exact"/>
        <w:rPr>
          <w:rFonts w:ascii="宋体" w:hAnsi="宋体"/>
          <w:color w:val="000000"/>
          <w:kern w:val="2"/>
          <w:szCs w:val="21"/>
        </w:rPr>
      </w:pPr>
      <w:r>
        <w:rPr>
          <w:rFonts w:hint="eastAsia" w:ascii="宋体" w:hAnsi="宋体"/>
          <w:color w:val="000000"/>
          <w:kern w:val="2"/>
          <w:szCs w:val="21"/>
        </w:rPr>
        <w:t>7.一旦我方中标,我方将根据招标文件的规定，严格履行合同的责任和义务,并保证在招标文件规定的时间完成项目，交付买方验收、使用。</w:t>
      </w:r>
    </w:p>
    <w:p>
      <w:pPr>
        <w:pStyle w:val="82"/>
        <w:spacing w:before="0" w:after="0" w:line="480" w:lineRule="exact"/>
        <w:ind w:left="425" w:firstLine="0"/>
        <w:rPr>
          <w:rFonts w:ascii="宋体"/>
          <w:kern w:val="2"/>
        </w:rPr>
      </w:pPr>
      <w:r>
        <w:rPr>
          <w:rFonts w:hint="eastAsia" w:ascii="宋体" w:hAnsi="宋体"/>
          <w:color w:val="000000"/>
          <w:kern w:val="2"/>
          <w:szCs w:val="21"/>
        </w:rPr>
        <w:t>8.与本投标有关的正式通讯地址为：</w:t>
      </w:r>
    </w:p>
    <w:p>
      <w:pPr>
        <w:pStyle w:val="82"/>
        <w:spacing w:before="0" w:after="0" w:line="480" w:lineRule="exact"/>
        <w:ind w:left="420" w:leftChars="200" w:firstLineChars="200"/>
        <w:rPr>
          <w:rFonts w:ascii="宋体"/>
          <w:kern w:val="2"/>
        </w:rPr>
      </w:pPr>
      <w:r>
        <w:rPr>
          <w:rFonts w:hint="eastAsia" w:ascii="宋体" w:hAnsi="宋体"/>
          <w:kern w:val="2"/>
        </w:rPr>
        <w:t>地址：</w:t>
      </w:r>
    </w:p>
    <w:p>
      <w:pPr>
        <w:pStyle w:val="82"/>
        <w:spacing w:before="0" w:after="0" w:line="480" w:lineRule="exact"/>
        <w:ind w:left="420" w:leftChars="200" w:firstLineChars="200"/>
        <w:rPr>
          <w:rFonts w:ascii="宋体"/>
          <w:kern w:val="2"/>
        </w:rPr>
      </w:pPr>
      <w:r>
        <w:rPr>
          <w:rFonts w:hint="eastAsia" w:ascii="宋体" w:hAnsi="宋体"/>
          <w:kern w:val="2"/>
        </w:rPr>
        <w:t>邮编：</w:t>
      </w:r>
    </w:p>
    <w:p>
      <w:pPr>
        <w:pStyle w:val="82"/>
        <w:spacing w:before="0" w:after="0" w:line="480" w:lineRule="exact"/>
        <w:ind w:left="420" w:leftChars="200" w:firstLineChars="200"/>
        <w:rPr>
          <w:rFonts w:ascii="宋体"/>
          <w:kern w:val="2"/>
        </w:rPr>
      </w:pPr>
      <w:r>
        <w:rPr>
          <w:rFonts w:hint="eastAsia" w:ascii="宋体" w:hAnsi="宋体"/>
          <w:kern w:val="2"/>
        </w:rPr>
        <w:t>电话：</w:t>
      </w:r>
    </w:p>
    <w:p>
      <w:pPr>
        <w:pStyle w:val="82"/>
        <w:spacing w:before="0" w:after="0" w:line="480" w:lineRule="exact"/>
        <w:ind w:left="420" w:leftChars="200" w:firstLineChars="200"/>
        <w:rPr>
          <w:rFonts w:ascii="宋体"/>
          <w:kern w:val="2"/>
        </w:rPr>
      </w:pPr>
      <w:r>
        <w:rPr>
          <w:rFonts w:hint="eastAsia" w:ascii="宋体" w:hAnsi="宋体"/>
          <w:kern w:val="2"/>
        </w:rPr>
        <w:t>传真：</w:t>
      </w:r>
    </w:p>
    <w:p>
      <w:pPr>
        <w:pStyle w:val="82"/>
        <w:spacing w:before="0" w:after="0" w:line="480" w:lineRule="exact"/>
        <w:ind w:left="420" w:leftChars="200" w:firstLineChars="200"/>
        <w:rPr>
          <w:rFonts w:ascii="宋体"/>
          <w:kern w:val="2"/>
        </w:rPr>
      </w:pPr>
      <w:r>
        <w:rPr>
          <w:rFonts w:hint="eastAsia" w:ascii="宋体" w:hAnsi="宋体"/>
          <w:kern w:val="2"/>
        </w:rPr>
        <w:t>投标人开户行：</w:t>
      </w:r>
    </w:p>
    <w:p>
      <w:pPr>
        <w:pStyle w:val="82"/>
        <w:spacing w:before="0" w:after="0" w:line="480" w:lineRule="exact"/>
        <w:ind w:left="420" w:leftChars="200" w:firstLineChars="200"/>
        <w:rPr>
          <w:rFonts w:ascii="宋体" w:hAnsi="宋体"/>
          <w:kern w:val="2"/>
        </w:rPr>
      </w:pPr>
      <w:r>
        <w:rPr>
          <w:rFonts w:hint="eastAsia" w:ascii="宋体" w:hAnsi="宋体"/>
          <w:kern w:val="2"/>
        </w:rPr>
        <w:t>账户：</w:t>
      </w:r>
    </w:p>
    <w:p>
      <w:pPr>
        <w:pStyle w:val="82"/>
        <w:spacing w:before="0" w:after="0" w:line="480" w:lineRule="exact"/>
        <w:ind w:left="420" w:leftChars="200" w:firstLineChars="200"/>
        <w:rPr>
          <w:rFonts w:ascii="宋体"/>
          <w:kern w:val="2"/>
        </w:rPr>
      </w:pPr>
      <w:r>
        <w:rPr>
          <w:rFonts w:hint="eastAsia" w:ascii="宋体" w:hAnsi="宋体"/>
          <w:kern w:val="2"/>
        </w:rPr>
        <w:t>投标人授权代表姓名（签字）：</w:t>
      </w:r>
    </w:p>
    <w:p>
      <w:pPr>
        <w:pStyle w:val="82"/>
        <w:spacing w:before="0" w:after="0" w:line="480" w:lineRule="exact"/>
        <w:ind w:left="420" w:leftChars="200" w:firstLineChars="200"/>
        <w:rPr>
          <w:rFonts w:ascii="宋体"/>
          <w:kern w:val="2"/>
        </w:rPr>
      </w:pPr>
      <w:r>
        <w:rPr>
          <w:rFonts w:hint="eastAsia" w:ascii="宋体" w:hAnsi="宋体"/>
          <w:kern w:val="2"/>
        </w:rPr>
        <w:t>投标人名称（公章）：</w:t>
      </w:r>
    </w:p>
    <w:p>
      <w:pPr>
        <w:pStyle w:val="82"/>
        <w:spacing w:before="0" w:after="0" w:line="480" w:lineRule="exact"/>
        <w:ind w:left="420" w:leftChars="200" w:firstLineChars="200"/>
        <w:rPr>
          <w:rFonts w:ascii="宋体"/>
          <w:kern w:val="2"/>
        </w:rPr>
      </w:pPr>
      <w:r>
        <w:rPr>
          <w:rFonts w:hint="eastAsia" w:ascii="宋体" w:hAnsi="宋体"/>
          <w:kern w:val="2"/>
        </w:rPr>
        <w:t>日期：</w:t>
      </w:r>
      <w:r>
        <w:rPr>
          <w:rFonts w:ascii="宋体" w:hAnsi="宋体"/>
          <w:kern w:val="2"/>
        </w:rPr>
        <w:t>_____</w:t>
      </w:r>
      <w:r>
        <w:rPr>
          <w:rFonts w:hint="eastAsia" w:ascii="宋体" w:hAnsi="宋体"/>
          <w:kern w:val="2"/>
        </w:rPr>
        <w:t>年</w:t>
      </w:r>
      <w:r>
        <w:rPr>
          <w:rFonts w:ascii="宋体" w:hAnsi="宋体"/>
          <w:kern w:val="2"/>
        </w:rPr>
        <w:t>____</w:t>
      </w:r>
      <w:r>
        <w:rPr>
          <w:rFonts w:hint="eastAsia" w:ascii="宋体" w:hAnsi="宋体"/>
          <w:kern w:val="2"/>
        </w:rPr>
        <w:t>月</w:t>
      </w:r>
      <w:r>
        <w:rPr>
          <w:rFonts w:ascii="宋体" w:hAnsi="宋体"/>
          <w:kern w:val="2"/>
        </w:rPr>
        <w:t>____</w:t>
      </w:r>
      <w:r>
        <w:rPr>
          <w:rFonts w:hint="eastAsia" w:ascii="宋体" w:hAnsi="宋体"/>
          <w:kern w:val="2"/>
        </w:rPr>
        <w:t>日</w:t>
      </w:r>
    </w:p>
    <w:p>
      <w:pPr>
        <w:pStyle w:val="7"/>
        <w:spacing w:line="500" w:lineRule="exact"/>
        <w:rPr>
          <w:rFonts w:ascii="宋体" w:hAnsi="宋体" w:eastAsia="宋体"/>
          <w:sz w:val="36"/>
          <w:szCs w:val="36"/>
        </w:rPr>
      </w:pPr>
      <w:r>
        <w:rPr>
          <w:rFonts w:hint="eastAsia" w:ascii="宋体" w:hAnsi="宋体" w:eastAsia="宋体" w:cs="Times New Roman"/>
          <w:bCs w:val="0"/>
          <w:sz w:val="36"/>
          <w:szCs w:val="36"/>
        </w:rPr>
        <w:t>五、</w:t>
      </w:r>
      <w:r>
        <w:rPr>
          <w:rFonts w:hint="eastAsia" w:ascii="宋体" w:hAnsi="宋体" w:eastAsia="宋体"/>
          <w:sz w:val="36"/>
          <w:szCs w:val="36"/>
        </w:rPr>
        <w:t>开标一览表</w:t>
      </w:r>
    </w:p>
    <w:tbl>
      <w:tblPr>
        <w:tblStyle w:val="40"/>
        <w:tblW w:w="10145"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0"/>
        <w:gridCol w:w="7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9" w:hRule="atLeast"/>
        </w:trPr>
        <w:tc>
          <w:tcPr>
            <w:tcW w:w="2700" w:type="dxa"/>
            <w:vAlign w:val="center"/>
          </w:tcPr>
          <w:p>
            <w:pPr>
              <w:spacing w:line="500" w:lineRule="exact"/>
              <w:ind w:firstLine="482" w:firstLineChars="200"/>
              <w:rPr>
                <w:rFonts w:ascii="宋体"/>
                <w:b/>
                <w:sz w:val="24"/>
                <w:szCs w:val="24"/>
              </w:rPr>
            </w:pPr>
            <w:r>
              <w:rPr>
                <w:rFonts w:hint="eastAsia" w:ascii="宋体" w:hAnsi="宋体"/>
                <w:b/>
                <w:sz w:val="24"/>
                <w:szCs w:val="24"/>
              </w:rPr>
              <w:t>项目编号</w:t>
            </w:r>
          </w:p>
        </w:tc>
        <w:tc>
          <w:tcPr>
            <w:tcW w:w="7445" w:type="dxa"/>
            <w:vAlign w:val="center"/>
          </w:tcPr>
          <w:p>
            <w:pPr>
              <w:pStyle w:val="7"/>
              <w:spacing w:line="500" w:lineRule="exact"/>
              <w:rPr>
                <w:rFonts w:ascii="宋体" w:hAnsi="宋体" w:eastAsia="宋体"/>
                <w:sz w:val="24"/>
                <w:szCs w:val="24"/>
              </w:rPr>
            </w:pPr>
            <w:r>
              <w:rPr>
                <w:rFonts w:ascii="宋体" w:hAnsi="宋体" w:eastAsia="宋体"/>
                <w:sz w:val="24"/>
                <w:szCs w:val="24"/>
              </w:rPr>
              <w:t>YDZC20</w:t>
            </w:r>
            <w:r>
              <w:rPr>
                <w:rFonts w:hint="eastAsia" w:ascii="宋体" w:hAnsi="宋体" w:eastAsia="宋体"/>
                <w:sz w:val="24"/>
                <w:szCs w:val="24"/>
              </w:rPr>
              <w:t>21</w:t>
            </w:r>
            <w:r>
              <w:rPr>
                <w:rFonts w:ascii="宋体" w:hAnsi="宋体" w:eastAsia="宋体"/>
                <w:sz w:val="24"/>
                <w:szCs w:val="24"/>
              </w:rPr>
              <w:t>-</w:t>
            </w:r>
            <w:r>
              <w:rPr>
                <w:rFonts w:hint="eastAsia" w:ascii="宋体" w:hAnsi="宋体" w:eastAsia="宋体"/>
                <w:sz w:val="24"/>
                <w:szCs w:val="24"/>
              </w:rPr>
              <w:t>FS  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9" w:hRule="atLeast"/>
        </w:trPr>
        <w:tc>
          <w:tcPr>
            <w:tcW w:w="2700" w:type="dxa"/>
            <w:vAlign w:val="center"/>
          </w:tcPr>
          <w:p>
            <w:pPr>
              <w:spacing w:line="500" w:lineRule="exact"/>
              <w:ind w:firstLine="482" w:firstLineChars="200"/>
              <w:rPr>
                <w:rFonts w:ascii="宋体"/>
                <w:b/>
                <w:sz w:val="24"/>
                <w:szCs w:val="24"/>
              </w:rPr>
            </w:pPr>
            <w:r>
              <w:rPr>
                <w:rFonts w:hint="eastAsia" w:ascii="宋体" w:hAnsi="宋体"/>
                <w:b/>
                <w:sz w:val="24"/>
                <w:szCs w:val="24"/>
              </w:rPr>
              <w:t>项目名称</w:t>
            </w:r>
          </w:p>
        </w:tc>
        <w:tc>
          <w:tcPr>
            <w:tcW w:w="7445" w:type="dxa"/>
            <w:vAlign w:val="center"/>
          </w:tcPr>
          <w:p>
            <w:pPr>
              <w:pStyle w:val="7"/>
              <w:spacing w:line="500" w:lineRule="exact"/>
              <w:jc w:val="both"/>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1" w:hRule="atLeast"/>
        </w:trPr>
        <w:tc>
          <w:tcPr>
            <w:tcW w:w="10145" w:type="dxa"/>
            <w:gridSpan w:val="2"/>
            <w:vAlign w:val="center"/>
          </w:tcPr>
          <w:p>
            <w:pPr>
              <w:spacing w:line="500" w:lineRule="exact"/>
              <w:rPr>
                <w:rFonts w:ascii="宋体"/>
                <w:b/>
                <w:sz w:val="24"/>
                <w:szCs w:val="24"/>
                <w:u w:val="single"/>
              </w:rPr>
            </w:pPr>
            <w:r>
              <w:rPr>
                <w:rFonts w:hint="eastAsia" w:ascii="宋体" w:hAnsi="宋体"/>
                <w:b/>
                <w:bCs/>
                <w:sz w:val="24"/>
                <w:szCs w:val="24"/>
              </w:rPr>
              <w:t>项目投标报价：</w:t>
            </w:r>
            <w:r>
              <w:rPr>
                <w:rFonts w:hint="eastAsia" w:ascii="宋体" w:hAnsi="宋体"/>
                <w:b/>
                <w:sz w:val="24"/>
                <w:szCs w:val="24"/>
              </w:rPr>
              <w:t>人民币（大写）元整</w:t>
            </w:r>
            <w:r>
              <w:rPr>
                <w:rFonts w:hint="eastAsia" w:ascii="新宋体" w:hAnsi="新宋体" w:eastAsia="新宋体"/>
                <w:b/>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1" w:hRule="atLeast"/>
        </w:trPr>
        <w:tc>
          <w:tcPr>
            <w:tcW w:w="10145" w:type="dxa"/>
            <w:gridSpan w:val="2"/>
            <w:vAlign w:val="center"/>
          </w:tcPr>
          <w:p>
            <w:pPr>
              <w:spacing w:line="500" w:lineRule="exact"/>
              <w:rPr>
                <w:rFonts w:ascii="宋体" w:hAnsi="宋体"/>
                <w:b/>
                <w:bCs/>
                <w:sz w:val="24"/>
                <w:szCs w:val="24"/>
              </w:rPr>
            </w:pPr>
            <w:r>
              <w:rPr>
                <w:rFonts w:hint="eastAsia" w:ascii="宋体" w:hAnsi="宋体"/>
                <w:b/>
                <w:bCs/>
                <w:sz w:val="24"/>
                <w:szCs w:val="24"/>
              </w:rPr>
              <w:t>是否提供《企业类型声明函》：</w:t>
            </w:r>
            <w:r>
              <w:rPr>
                <w:rFonts w:hint="eastAsia" w:ascii="宋体" w:hAnsi="宋体"/>
                <w:b/>
                <w:bCs/>
                <w:sz w:val="24"/>
                <w:szCs w:val="24"/>
                <w:u w:val="single"/>
              </w:rPr>
              <w:t xml:space="preserve">  是/否  </w:t>
            </w:r>
            <w:r>
              <w:rPr>
                <w:rFonts w:hint="eastAsia" w:ascii="宋体" w:hAnsi="宋体"/>
                <w:b/>
                <w:bCs/>
                <w:sz w:val="24"/>
                <w:szCs w:val="24"/>
              </w:rPr>
              <w:t xml:space="preserve">            见（）页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1" w:hRule="atLeast"/>
        </w:trPr>
        <w:tc>
          <w:tcPr>
            <w:tcW w:w="10145" w:type="dxa"/>
            <w:gridSpan w:val="2"/>
            <w:vAlign w:val="center"/>
          </w:tcPr>
          <w:p>
            <w:pPr>
              <w:spacing w:line="500" w:lineRule="exact"/>
              <w:rPr>
                <w:rFonts w:ascii="宋体" w:hAnsi="宋体"/>
                <w:b/>
                <w:bCs/>
                <w:sz w:val="24"/>
                <w:szCs w:val="24"/>
              </w:rPr>
            </w:pPr>
            <w:r>
              <w:rPr>
                <w:rFonts w:hint="eastAsia" w:ascii="宋体" w:hAnsi="宋体"/>
                <w:b/>
                <w:bCs/>
                <w:sz w:val="24"/>
                <w:szCs w:val="24"/>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7" w:hRule="atLeast"/>
        </w:trPr>
        <w:tc>
          <w:tcPr>
            <w:tcW w:w="10145" w:type="dxa"/>
            <w:gridSpan w:val="2"/>
            <w:vAlign w:val="center"/>
          </w:tcPr>
          <w:p>
            <w:pPr>
              <w:spacing w:line="500" w:lineRule="exact"/>
              <w:rPr>
                <w:rFonts w:ascii="宋体" w:hAnsi="宋体"/>
                <w:b/>
                <w:bCs/>
                <w:sz w:val="24"/>
                <w:szCs w:val="24"/>
              </w:rPr>
            </w:pPr>
            <w:r>
              <w:rPr>
                <w:rFonts w:hint="eastAsia" w:ascii="宋体" w:hAnsi="宋体"/>
                <w:b/>
                <w:bCs/>
                <w:sz w:val="24"/>
                <w:szCs w:val="24"/>
              </w:rPr>
              <w:t>项目实施时间（供期或工期）：</w:t>
            </w:r>
          </w:p>
        </w:tc>
      </w:tr>
    </w:tbl>
    <w:p>
      <w:pPr>
        <w:spacing w:line="500" w:lineRule="exact"/>
        <w:rPr>
          <w:rFonts w:ascii="宋体"/>
          <w:sz w:val="24"/>
          <w:szCs w:val="24"/>
        </w:rPr>
      </w:pPr>
      <w:r>
        <w:rPr>
          <w:rFonts w:hint="eastAsia" w:ascii="宋体" w:hAnsi="宋体"/>
          <w:sz w:val="24"/>
          <w:szCs w:val="24"/>
        </w:rPr>
        <w:t>填写说明：</w:t>
      </w:r>
    </w:p>
    <w:p>
      <w:pPr>
        <w:numPr>
          <w:ilvl w:val="0"/>
          <w:numId w:val="6"/>
        </w:numPr>
        <w:spacing w:line="500" w:lineRule="exact"/>
        <w:rPr>
          <w:rFonts w:ascii="宋体"/>
          <w:sz w:val="24"/>
          <w:szCs w:val="24"/>
        </w:rPr>
      </w:pPr>
      <w:r>
        <w:rPr>
          <w:rFonts w:hint="eastAsia" w:ascii="宋体" w:hAnsi="宋体"/>
          <w:sz w:val="24"/>
          <w:szCs w:val="24"/>
        </w:rPr>
        <w:t>开标一览表不得填报选择性报价，否则将作为无效投标；</w:t>
      </w:r>
    </w:p>
    <w:p>
      <w:pPr>
        <w:numPr>
          <w:ilvl w:val="0"/>
          <w:numId w:val="6"/>
        </w:numPr>
        <w:spacing w:line="500" w:lineRule="exact"/>
        <w:rPr>
          <w:rFonts w:ascii="宋体"/>
          <w:sz w:val="24"/>
          <w:szCs w:val="24"/>
        </w:rPr>
      </w:pPr>
      <w:r>
        <w:rPr>
          <w:rFonts w:hint="eastAsia" w:ascii="宋体" w:hAnsi="宋体"/>
          <w:sz w:val="24"/>
          <w:szCs w:val="24"/>
        </w:rPr>
        <w:t>开标一览表中报价与投标报价清单中不符时时，以开标一览表为准；</w:t>
      </w:r>
    </w:p>
    <w:p>
      <w:pPr>
        <w:spacing w:line="500" w:lineRule="exact"/>
        <w:ind w:firstLine="1440" w:firstLineChars="600"/>
        <w:rPr>
          <w:rFonts w:ascii="宋体"/>
          <w:sz w:val="24"/>
          <w:szCs w:val="24"/>
        </w:rPr>
      </w:pPr>
    </w:p>
    <w:p>
      <w:pPr>
        <w:spacing w:line="500" w:lineRule="exact"/>
        <w:rPr>
          <w:rFonts w:ascii="宋体"/>
          <w:sz w:val="24"/>
          <w:szCs w:val="24"/>
        </w:rPr>
      </w:pPr>
    </w:p>
    <w:p>
      <w:pPr>
        <w:spacing w:line="500" w:lineRule="exact"/>
        <w:rPr>
          <w:rFonts w:ascii="宋体"/>
          <w:sz w:val="24"/>
          <w:szCs w:val="24"/>
        </w:rPr>
      </w:pPr>
    </w:p>
    <w:p>
      <w:pPr>
        <w:pStyle w:val="20"/>
        <w:spacing w:line="480" w:lineRule="auto"/>
        <w:ind w:firstLine="4336" w:firstLineChars="1807"/>
        <w:rPr>
          <w:rFonts w:ascii="新宋体" w:hAnsi="新宋体" w:eastAsia="新宋体"/>
          <w:sz w:val="24"/>
          <w:szCs w:val="24"/>
          <w:u w:val="single"/>
        </w:rPr>
      </w:pPr>
      <w:r>
        <w:rPr>
          <w:rFonts w:hint="eastAsia" w:ascii="新宋体" w:hAnsi="新宋体" w:eastAsia="新宋体"/>
          <w:sz w:val="24"/>
          <w:szCs w:val="24"/>
        </w:rPr>
        <w:t>供应商名称（盖章）：</w:t>
      </w:r>
    </w:p>
    <w:p>
      <w:pPr>
        <w:pStyle w:val="20"/>
        <w:spacing w:line="480" w:lineRule="auto"/>
        <w:rPr>
          <w:rFonts w:ascii="新宋体" w:hAnsi="新宋体" w:eastAsia="新宋体"/>
          <w:sz w:val="24"/>
          <w:szCs w:val="24"/>
        </w:rPr>
      </w:pPr>
      <w:r>
        <w:rPr>
          <w:rFonts w:hint="eastAsia" w:ascii="新宋体" w:hAnsi="新宋体" w:eastAsia="新宋体"/>
          <w:sz w:val="24"/>
          <w:szCs w:val="24"/>
        </w:rPr>
        <w:t xml:space="preserve">                               日期：  年  月  日</w:t>
      </w:r>
    </w:p>
    <w:p>
      <w:pPr>
        <w:pStyle w:val="38"/>
        <w:ind w:firstLine="482"/>
        <w:rPr>
          <w:rFonts w:ascii="宋体" w:hAnsi="宋体"/>
          <w:b/>
          <w:bCs/>
          <w:color w:val="000000"/>
          <w:sz w:val="21"/>
          <w:szCs w:val="21"/>
        </w:rPr>
      </w:pPr>
      <w:r>
        <w:rPr>
          <w:rFonts w:ascii="宋体"/>
          <w:b/>
          <w:sz w:val="24"/>
          <w:szCs w:val="24"/>
        </w:rPr>
        <w:br w:type="page"/>
      </w:r>
      <w:bookmarkEnd w:id="160"/>
      <w:bookmarkStart w:id="161" w:name="_Toc462564146"/>
    </w:p>
    <w:p>
      <w:pPr>
        <w:spacing w:line="500" w:lineRule="exact"/>
        <w:jc w:val="center"/>
        <w:textAlignment w:val="baseline"/>
        <w:rPr>
          <w:rFonts w:ascii="宋体"/>
          <w:color w:val="000000"/>
          <w:sz w:val="24"/>
        </w:rPr>
      </w:pPr>
      <w:r>
        <w:rPr>
          <w:rFonts w:hint="eastAsia" w:ascii="宋体" w:hAnsi="宋体"/>
          <w:b/>
          <w:color w:val="000000"/>
          <w:sz w:val="36"/>
          <w:szCs w:val="36"/>
        </w:rPr>
        <w:t>投标分项报价表</w:t>
      </w:r>
    </w:p>
    <w:p>
      <w:pPr>
        <w:spacing w:line="500" w:lineRule="exact"/>
        <w:ind w:firstLine="120" w:firstLineChars="50"/>
        <w:jc w:val="left"/>
        <w:textAlignment w:val="baseline"/>
        <w:rPr>
          <w:rFonts w:ascii="宋体" w:hAnsi="宋体"/>
          <w:color w:val="000000"/>
          <w:sz w:val="24"/>
          <w:szCs w:val="24"/>
        </w:rPr>
      </w:pPr>
      <w:r>
        <w:rPr>
          <w:rFonts w:ascii="宋体" w:hAnsi="宋体"/>
          <w:color w:val="000000"/>
          <w:sz w:val="24"/>
          <w:szCs w:val="24"/>
        </w:rPr>
        <w:pict>
          <v:shape id="_x0000_s2050" o:spid="_x0000_s2050" o:spt="32" type="#_x0000_t32" style="position:absolute;left:0pt;margin-left:68.25pt;margin-top:22.6pt;height:0pt;width:135pt;z-index:251660288;mso-width-relative:page;mso-height-relative:page;" filled="f" stroked="t" coordsize="21600,21600" o:gfxdata="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rWUXH1gAAAAkBAAAPAAAAAAAAAAEAIAAAACIAAABkcnMvZG93bnJldi54bWxQ&#10;SwECFAAUAAAACACHTuJApwFzp/kBAADxAwAADgAAAAAAAAABACAAAAAlAQAAZHJzL2Uyb0RvYy54&#10;bWxQSwUGAAAAAAYABgBZAQAAkAUAAAAA&#10;">
            <v:path arrowok="t"/>
            <v:fill on="f" focussize="0,0"/>
            <v:stroke color="#000000" joinstyle="round"/>
            <v:imagedata o:title=""/>
            <o:lock v:ext="edit" aspectratio="f"/>
          </v:shape>
        </w:pict>
      </w:r>
      <w:r>
        <w:rPr>
          <w:rFonts w:hint="eastAsia" w:ascii="宋体" w:hAnsi="宋体"/>
          <w:color w:val="000000"/>
          <w:sz w:val="24"/>
          <w:szCs w:val="24"/>
        </w:rPr>
        <w:t>投标人全称：                     （加盖公章）</w:t>
      </w:r>
    </w:p>
    <w:tbl>
      <w:tblPr>
        <w:tblStyle w:val="40"/>
        <w:tblpPr w:leftFromText="180" w:rightFromText="180" w:vertAnchor="page" w:horzAnchor="page" w:tblpX="1770" w:tblpY="2558"/>
        <w:tblW w:w="85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5"/>
        <w:gridCol w:w="1701"/>
        <w:gridCol w:w="1842"/>
        <w:gridCol w:w="851"/>
        <w:gridCol w:w="992"/>
        <w:gridCol w:w="992"/>
        <w:gridCol w:w="15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3" w:hRule="atLeast"/>
        </w:trPr>
        <w:tc>
          <w:tcPr>
            <w:tcW w:w="675" w:type="dxa"/>
            <w:vAlign w:val="center"/>
          </w:tcPr>
          <w:p>
            <w:pPr>
              <w:spacing w:line="500" w:lineRule="exact"/>
              <w:jc w:val="center"/>
              <w:textAlignment w:val="baseline"/>
              <w:rPr>
                <w:rFonts w:ascii="宋体"/>
                <w:color w:val="000000"/>
                <w:sz w:val="24"/>
                <w:szCs w:val="24"/>
              </w:rPr>
            </w:pPr>
            <w:r>
              <w:rPr>
                <w:rFonts w:hint="eastAsia" w:ascii="宋体" w:hAnsi="宋体"/>
                <w:color w:val="000000"/>
                <w:sz w:val="24"/>
                <w:szCs w:val="24"/>
              </w:rPr>
              <w:t>序</w:t>
            </w:r>
          </w:p>
          <w:p>
            <w:pPr>
              <w:spacing w:line="500" w:lineRule="exact"/>
              <w:jc w:val="center"/>
              <w:textAlignment w:val="baseline"/>
              <w:rPr>
                <w:rFonts w:ascii="宋体"/>
                <w:color w:val="000000"/>
                <w:sz w:val="24"/>
                <w:szCs w:val="24"/>
              </w:rPr>
            </w:pPr>
            <w:r>
              <w:rPr>
                <w:rFonts w:hint="eastAsia" w:ascii="宋体" w:hAnsi="宋体"/>
                <w:color w:val="000000"/>
                <w:sz w:val="24"/>
                <w:szCs w:val="24"/>
              </w:rPr>
              <w:t>号</w:t>
            </w:r>
          </w:p>
        </w:tc>
        <w:tc>
          <w:tcPr>
            <w:tcW w:w="1701" w:type="dxa"/>
            <w:tcBorders>
              <w:bottom w:val="single" w:color="auto" w:sz="4" w:space="0"/>
            </w:tcBorders>
            <w:vAlign w:val="center"/>
          </w:tcPr>
          <w:p>
            <w:pPr>
              <w:spacing w:line="500" w:lineRule="exact"/>
              <w:jc w:val="center"/>
              <w:textAlignment w:val="baseline"/>
              <w:rPr>
                <w:rFonts w:ascii="宋体"/>
                <w:color w:val="000000"/>
                <w:sz w:val="24"/>
                <w:szCs w:val="24"/>
              </w:rPr>
            </w:pPr>
            <w:r>
              <w:rPr>
                <w:rFonts w:hint="eastAsia" w:ascii="宋体" w:hAnsi="宋体"/>
                <w:color w:val="000000"/>
                <w:sz w:val="24"/>
                <w:szCs w:val="24"/>
              </w:rPr>
              <w:t>服务名称</w:t>
            </w:r>
          </w:p>
        </w:tc>
        <w:tc>
          <w:tcPr>
            <w:tcW w:w="1842" w:type="dxa"/>
            <w:vAlign w:val="center"/>
          </w:tcPr>
          <w:p>
            <w:pPr>
              <w:spacing w:line="500" w:lineRule="exact"/>
              <w:jc w:val="center"/>
              <w:textAlignment w:val="baseline"/>
              <w:rPr>
                <w:rFonts w:ascii="宋体"/>
                <w:color w:val="000000"/>
                <w:sz w:val="24"/>
                <w:szCs w:val="24"/>
              </w:rPr>
            </w:pPr>
            <w:r>
              <w:rPr>
                <w:rFonts w:hint="eastAsia" w:ascii="宋体" w:hAnsi="宋体"/>
                <w:color w:val="000000"/>
                <w:sz w:val="24"/>
                <w:szCs w:val="24"/>
              </w:rPr>
              <w:t>技术</w:t>
            </w:r>
          </w:p>
          <w:p>
            <w:pPr>
              <w:spacing w:line="500" w:lineRule="exact"/>
              <w:jc w:val="center"/>
              <w:textAlignment w:val="baseline"/>
              <w:rPr>
                <w:rFonts w:ascii="宋体"/>
                <w:color w:val="000000"/>
                <w:sz w:val="24"/>
                <w:szCs w:val="24"/>
              </w:rPr>
            </w:pPr>
            <w:r>
              <w:rPr>
                <w:rFonts w:hint="eastAsia" w:ascii="宋体" w:hAnsi="宋体"/>
                <w:color w:val="000000"/>
                <w:sz w:val="24"/>
                <w:szCs w:val="24"/>
              </w:rPr>
              <w:t>参数</w:t>
            </w:r>
          </w:p>
        </w:tc>
        <w:tc>
          <w:tcPr>
            <w:tcW w:w="851" w:type="dxa"/>
            <w:vAlign w:val="center"/>
          </w:tcPr>
          <w:p>
            <w:pPr>
              <w:spacing w:line="500" w:lineRule="exact"/>
              <w:jc w:val="center"/>
              <w:textAlignment w:val="baseline"/>
              <w:rPr>
                <w:rFonts w:ascii="宋体"/>
                <w:color w:val="000000"/>
                <w:sz w:val="24"/>
                <w:szCs w:val="24"/>
              </w:rPr>
            </w:pPr>
            <w:r>
              <w:rPr>
                <w:rFonts w:hint="eastAsia" w:ascii="宋体" w:hAnsi="宋体"/>
                <w:color w:val="000000"/>
                <w:sz w:val="24"/>
                <w:szCs w:val="24"/>
              </w:rPr>
              <w:t>单位</w:t>
            </w:r>
          </w:p>
        </w:tc>
        <w:tc>
          <w:tcPr>
            <w:tcW w:w="992" w:type="dxa"/>
            <w:vAlign w:val="center"/>
          </w:tcPr>
          <w:p>
            <w:pPr>
              <w:spacing w:line="500" w:lineRule="exact"/>
              <w:jc w:val="center"/>
              <w:textAlignment w:val="baseline"/>
              <w:rPr>
                <w:rFonts w:ascii="宋体"/>
                <w:color w:val="000000"/>
                <w:sz w:val="24"/>
                <w:szCs w:val="24"/>
              </w:rPr>
            </w:pPr>
            <w:r>
              <w:rPr>
                <w:rFonts w:hint="eastAsia" w:ascii="宋体"/>
                <w:color w:val="000000"/>
                <w:sz w:val="24"/>
                <w:szCs w:val="24"/>
              </w:rPr>
              <w:t>数量</w:t>
            </w:r>
          </w:p>
        </w:tc>
        <w:tc>
          <w:tcPr>
            <w:tcW w:w="992" w:type="dxa"/>
            <w:vAlign w:val="center"/>
          </w:tcPr>
          <w:p>
            <w:pPr>
              <w:spacing w:line="500" w:lineRule="exact"/>
              <w:jc w:val="center"/>
              <w:textAlignment w:val="baseline"/>
              <w:rPr>
                <w:rFonts w:ascii="宋体"/>
                <w:color w:val="000000"/>
                <w:sz w:val="24"/>
                <w:szCs w:val="24"/>
              </w:rPr>
            </w:pPr>
            <w:r>
              <w:rPr>
                <w:rFonts w:hint="eastAsia" w:ascii="宋体" w:hAnsi="宋体"/>
                <w:color w:val="000000"/>
                <w:sz w:val="24"/>
                <w:szCs w:val="24"/>
              </w:rPr>
              <w:t>单价</w:t>
            </w:r>
          </w:p>
          <w:p>
            <w:pPr>
              <w:spacing w:line="500" w:lineRule="exact"/>
              <w:jc w:val="center"/>
              <w:textAlignment w:val="baseline"/>
              <w:rPr>
                <w:rFonts w:ascii="宋体"/>
                <w:color w:val="000000"/>
                <w:sz w:val="24"/>
                <w:szCs w:val="24"/>
              </w:rPr>
            </w:pPr>
            <w:r>
              <w:rPr>
                <w:rFonts w:hint="eastAsia" w:ascii="宋体" w:hAnsi="宋体"/>
                <w:color w:val="000000"/>
                <w:sz w:val="24"/>
                <w:szCs w:val="24"/>
              </w:rPr>
              <w:t>（元）</w:t>
            </w:r>
          </w:p>
        </w:tc>
        <w:tc>
          <w:tcPr>
            <w:tcW w:w="1526" w:type="dxa"/>
            <w:vAlign w:val="center"/>
          </w:tcPr>
          <w:p>
            <w:pPr>
              <w:spacing w:line="500" w:lineRule="exact"/>
              <w:jc w:val="center"/>
              <w:textAlignment w:val="baseline"/>
              <w:rPr>
                <w:rFonts w:ascii="宋体"/>
                <w:color w:val="000000"/>
                <w:sz w:val="24"/>
                <w:szCs w:val="24"/>
              </w:rPr>
            </w:pPr>
            <w:r>
              <w:rPr>
                <w:rFonts w:hint="eastAsia" w:ascii="宋体" w:hAnsi="宋体"/>
                <w:color w:val="000000"/>
                <w:sz w:val="24"/>
                <w:szCs w:val="24"/>
              </w:rPr>
              <w:t>合价</w:t>
            </w:r>
          </w:p>
          <w:p>
            <w:pPr>
              <w:spacing w:line="500" w:lineRule="exact"/>
              <w:jc w:val="center"/>
              <w:textAlignment w:val="baseline"/>
              <w:rPr>
                <w:rFonts w:ascii="宋体"/>
                <w:color w:val="000000"/>
                <w:sz w:val="24"/>
                <w:szCs w:val="24"/>
              </w:rPr>
            </w:pPr>
            <w:r>
              <w:rPr>
                <w:rFonts w:hint="eastAsia" w:ascii="宋体" w:hAnsi="宋体"/>
                <w:color w:val="000000"/>
                <w:sz w:val="24"/>
                <w:szCs w:val="24"/>
              </w:rPr>
              <w:t>（元）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6" w:hRule="atLeast"/>
        </w:trPr>
        <w:tc>
          <w:tcPr>
            <w:tcW w:w="675" w:type="dxa"/>
            <w:vAlign w:val="center"/>
          </w:tcPr>
          <w:p>
            <w:pPr>
              <w:spacing w:line="500" w:lineRule="exact"/>
              <w:jc w:val="center"/>
              <w:textAlignment w:val="baseline"/>
              <w:rPr>
                <w:rFonts w:ascii="宋体" w:hAnsi="宋体"/>
                <w:color w:val="000000"/>
                <w:sz w:val="24"/>
                <w:szCs w:val="24"/>
              </w:rPr>
            </w:pPr>
            <w:r>
              <w:rPr>
                <w:rFonts w:ascii="宋体" w:hAnsi="宋体"/>
                <w:color w:val="000000"/>
                <w:sz w:val="24"/>
                <w:szCs w:val="24"/>
              </w:rPr>
              <w:t>1</w:t>
            </w:r>
          </w:p>
        </w:tc>
        <w:tc>
          <w:tcPr>
            <w:tcW w:w="1701" w:type="dxa"/>
            <w:vAlign w:val="center"/>
          </w:tcPr>
          <w:p>
            <w:pPr>
              <w:spacing w:line="500" w:lineRule="exact"/>
              <w:jc w:val="center"/>
              <w:textAlignment w:val="baseline"/>
              <w:rPr>
                <w:rFonts w:ascii="宋体" w:hAnsi="宋体"/>
                <w:color w:val="000000"/>
                <w:sz w:val="24"/>
                <w:szCs w:val="24"/>
              </w:rPr>
            </w:pPr>
            <w:r>
              <w:rPr>
                <w:rFonts w:hint="eastAsia" w:ascii="宋体" w:hAnsi="宋体"/>
                <w:color w:val="000000"/>
                <w:sz w:val="24"/>
                <w:szCs w:val="24"/>
              </w:rPr>
              <w:t>盐城区地下水污染防治规划方案项目</w:t>
            </w:r>
          </w:p>
        </w:tc>
        <w:tc>
          <w:tcPr>
            <w:tcW w:w="1842" w:type="dxa"/>
            <w:vAlign w:val="center"/>
          </w:tcPr>
          <w:p>
            <w:pPr>
              <w:spacing w:line="500" w:lineRule="exact"/>
              <w:jc w:val="center"/>
              <w:textAlignment w:val="baseline"/>
              <w:rPr>
                <w:rFonts w:ascii="宋体"/>
                <w:color w:val="000000"/>
                <w:sz w:val="24"/>
                <w:szCs w:val="24"/>
              </w:rPr>
            </w:pPr>
            <w:r>
              <w:rPr>
                <w:rFonts w:hint="eastAsia" w:ascii="宋体" w:hAnsi="宋体"/>
                <w:b/>
                <w:color w:val="000000"/>
                <w:sz w:val="24"/>
                <w:szCs w:val="24"/>
              </w:rPr>
              <w:t>该部分完全响应招标文件第四章采购需求中技术参数所有条款</w:t>
            </w:r>
          </w:p>
        </w:tc>
        <w:tc>
          <w:tcPr>
            <w:tcW w:w="851" w:type="dxa"/>
            <w:vAlign w:val="center"/>
          </w:tcPr>
          <w:p>
            <w:pPr>
              <w:spacing w:line="500" w:lineRule="exact"/>
              <w:jc w:val="center"/>
              <w:textAlignment w:val="baseline"/>
              <w:rPr>
                <w:rFonts w:hint="eastAsia" w:ascii="宋体" w:eastAsia="宋体"/>
                <w:color w:val="000000"/>
                <w:sz w:val="24"/>
                <w:szCs w:val="24"/>
                <w:lang w:val="en-US" w:eastAsia="zh-CN"/>
              </w:rPr>
            </w:pPr>
            <w:r>
              <w:rPr>
                <w:rFonts w:hint="eastAsia" w:ascii="宋体"/>
                <w:color w:val="000000"/>
                <w:sz w:val="24"/>
                <w:szCs w:val="24"/>
                <w:lang w:val="en-US" w:eastAsia="zh-CN"/>
              </w:rPr>
              <w:t>项</w:t>
            </w:r>
          </w:p>
        </w:tc>
        <w:tc>
          <w:tcPr>
            <w:tcW w:w="992" w:type="dxa"/>
            <w:vAlign w:val="center"/>
          </w:tcPr>
          <w:p>
            <w:pPr>
              <w:spacing w:line="500" w:lineRule="exact"/>
              <w:jc w:val="center"/>
              <w:textAlignment w:val="baseline"/>
              <w:rPr>
                <w:rFonts w:hint="eastAsia" w:ascii="宋体" w:eastAsia="宋体"/>
                <w:color w:val="000000"/>
                <w:sz w:val="24"/>
                <w:szCs w:val="24"/>
                <w:lang w:val="en-US" w:eastAsia="zh-CN"/>
              </w:rPr>
            </w:pPr>
            <w:r>
              <w:rPr>
                <w:rFonts w:hint="eastAsia" w:ascii="宋体"/>
                <w:color w:val="000000"/>
                <w:sz w:val="24"/>
                <w:szCs w:val="24"/>
                <w:lang w:val="en-US" w:eastAsia="zh-CN"/>
              </w:rPr>
              <w:t>1</w:t>
            </w:r>
          </w:p>
        </w:tc>
        <w:tc>
          <w:tcPr>
            <w:tcW w:w="992" w:type="dxa"/>
            <w:vAlign w:val="center"/>
          </w:tcPr>
          <w:p>
            <w:pPr>
              <w:spacing w:line="500" w:lineRule="exact"/>
              <w:jc w:val="center"/>
              <w:textAlignment w:val="baseline"/>
              <w:rPr>
                <w:rFonts w:ascii="宋体"/>
                <w:color w:val="000000"/>
                <w:sz w:val="24"/>
                <w:szCs w:val="24"/>
              </w:rPr>
            </w:pPr>
          </w:p>
        </w:tc>
        <w:tc>
          <w:tcPr>
            <w:tcW w:w="1526" w:type="dxa"/>
            <w:vAlign w:val="center"/>
          </w:tcPr>
          <w:p>
            <w:pPr>
              <w:spacing w:line="500" w:lineRule="exact"/>
              <w:jc w:val="center"/>
              <w:textAlignment w:val="baseline"/>
              <w:rPr>
                <w:rFonts w:ascii="宋体"/>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2" w:hRule="atLeast"/>
        </w:trPr>
        <w:tc>
          <w:tcPr>
            <w:tcW w:w="675" w:type="dxa"/>
            <w:vAlign w:val="center"/>
          </w:tcPr>
          <w:p>
            <w:pPr>
              <w:spacing w:line="500" w:lineRule="exact"/>
              <w:jc w:val="center"/>
              <w:textAlignment w:val="baseline"/>
              <w:rPr>
                <w:rFonts w:hint="eastAsia" w:ascii="宋体" w:hAnsi="宋体" w:eastAsia="宋体"/>
                <w:color w:val="000000"/>
                <w:sz w:val="24"/>
                <w:szCs w:val="24"/>
                <w:lang w:eastAsia="zh-CN"/>
              </w:rPr>
            </w:pPr>
            <w:r>
              <w:rPr>
                <w:rFonts w:hint="eastAsia" w:ascii="宋体" w:hAnsi="宋体"/>
                <w:color w:val="000000"/>
                <w:sz w:val="24"/>
                <w:szCs w:val="24"/>
                <w:lang w:val="en-US" w:eastAsia="zh-CN"/>
              </w:rPr>
              <w:t>2</w:t>
            </w:r>
          </w:p>
        </w:tc>
        <w:tc>
          <w:tcPr>
            <w:tcW w:w="1701" w:type="dxa"/>
            <w:vAlign w:val="center"/>
          </w:tcPr>
          <w:p>
            <w:pPr>
              <w:spacing w:line="500" w:lineRule="exact"/>
              <w:jc w:val="center"/>
              <w:textAlignment w:val="baseline"/>
              <w:rPr>
                <w:rFonts w:ascii="宋体"/>
                <w:color w:val="000000"/>
                <w:sz w:val="24"/>
                <w:szCs w:val="24"/>
              </w:rPr>
            </w:pPr>
            <w:r>
              <w:rPr>
                <w:rFonts w:hint="eastAsia" w:ascii="宋体" w:hAnsi="宋体"/>
                <w:color w:val="000000"/>
                <w:sz w:val="24"/>
                <w:szCs w:val="24"/>
              </w:rPr>
              <w:t>合计</w:t>
            </w:r>
          </w:p>
        </w:tc>
        <w:tc>
          <w:tcPr>
            <w:tcW w:w="6203" w:type="dxa"/>
            <w:gridSpan w:val="5"/>
            <w:vAlign w:val="center"/>
          </w:tcPr>
          <w:p>
            <w:pPr>
              <w:spacing w:line="500" w:lineRule="exact"/>
              <w:textAlignment w:val="baseline"/>
              <w:rPr>
                <w:rFonts w:ascii="宋体" w:hAnsi="宋体"/>
                <w:color w:val="000000"/>
                <w:sz w:val="24"/>
                <w:szCs w:val="24"/>
                <w:u w:val="single" w:color="000000"/>
              </w:rPr>
            </w:pPr>
            <w:r>
              <w:rPr>
                <w:rFonts w:hint="eastAsia" w:ascii="宋体" w:hAnsi="宋体"/>
                <w:b/>
                <w:color w:val="000000"/>
                <w:sz w:val="24"/>
                <w:szCs w:val="24"/>
              </w:rPr>
              <w:t>人民币（大写）元整</w:t>
            </w:r>
            <w:r>
              <w:rPr>
                <w:rFonts w:hint="eastAsia" w:ascii="新宋体" w:hAnsi="新宋体" w:eastAsia="新宋体"/>
                <w:b/>
                <w:color w:val="000000"/>
                <w:sz w:val="24"/>
              </w:rPr>
              <w:t>（￥元）</w:t>
            </w:r>
          </w:p>
        </w:tc>
      </w:tr>
    </w:tbl>
    <w:p>
      <w:pPr>
        <w:spacing w:line="800" w:lineRule="exact"/>
        <w:textAlignment w:val="baseline"/>
        <w:rPr>
          <w:rFonts w:ascii="宋体" w:hAnsi="宋体"/>
          <w:b/>
          <w:color w:val="000000"/>
          <w:sz w:val="24"/>
          <w:szCs w:val="24"/>
        </w:rPr>
      </w:pPr>
    </w:p>
    <w:p>
      <w:pPr>
        <w:spacing w:line="800" w:lineRule="exact"/>
        <w:textAlignment w:val="baseline"/>
        <w:rPr>
          <w:rFonts w:ascii="宋体"/>
          <w:color w:val="000000"/>
          <w:sz w:val="24"/>
          <w:szCs w:val="24"/>
        </w:rPr>
      </w:pPr>
      <w:r>
        <w:rPr>
          <w:rFonts w:hint="eastAsia" w:ascii="宋体" w:hAnsi="宋体"/>
          <w:b/>
          <w:color w:val="000000"/>
          <w:sz w:val="24"/>
          <w:szCs w:val="24"/>
        </w:rPr>
        <w:t>法定代表人或授权代表签字：</w:t>
      </w:r>
    </w:p>
    <w:p>
      <w:pPr>
        <w:spacing w:line="500" w:lineRule="exact"/>
        <w:ind w:firstLine="480" w:firstLineChars="200"/>
        <w:textAlignment w:val="baseline"/>
        <w:rPr>
          <w:rFonts w:ascii="宋体"/>
          <w:bCs/>
          <w:color w:val="000000"/>
          <w:sz w:val="24"/>
          <w:szCs w:val="24"/>
        </w:rPr>
      </w:pPr>
      <w:r>
        <w:rPr>
          <w:rFonts w:hint="eastAsia" w:ascii="宋体" w:hAnsi="宋体"/>
          <w:color w:val="000000"/>
          <w:sz w:val="24"/>
          <w:szCs w:val="24"/>
        </w:rPr>
        <w:t>注：投标人须对覆盖区域进行全面的现场踏勘，结合现场情况综合报价，中标后不得因踏勘不全增加任何费用。投标报价包括（但不限于）投标人完成本规划的所有工作内容并提供全套成果文件（包括全部基础资料电子文件以及评审所需文件），以及调研、资料收集、文件编制、汇报、评审、后续服务等全部工作所需的人工、管理、编制费、专家咨询费、交通工具、差旅费、设备及相关费用、现场勘测、资料费、论证和印刷费、保险、利润、税金及合同包含的所有风险、责任等各项应有费用，后期不做调整。投标人在填写报价表时，要逐项填写数量、单价和合价，最后汇总得出总价。</w:t>
      </w:r>
    </w:p>
    <w:p>
      <w:pPr>
        <w:spacing w:line="500" w:lineRule="exact"/>
        <w:ind w:firstLine="480" w:firstLineChars="200"/>
        <w:textAlignment w:val="baseline"/>
        <w:rPr>
          <w:rFonts w:ascii="宋体" w:hAnsi="宋体"/>
          <w:bCs/>
          <w:sz w:val="24"/>
          <w:szCs w:val="24"/>
        </w:rPr>
      </w:pPr>
      <w:r>
        <w:rPr>
          <w:rFonts w:hint="eastAsia" w:ascii="宋体" w:hAnsi="宋体"/>
          <w:color w:val="000000"/>
          <w:sz w:val="24"/>
          <w:szCs w:val="24"/>
        </w:rPr>
        <w:t>投标报价不得高于预算价。</w:t>
      </w:r>
    </w:p>
    <w:p>
      <w:pPr>
        <w:spacing w:line="460" w:lineRule="exact"/>
        <w:rPr>
          <w:rFonts w:ascii="宋体" w:hAnsi="宋体"/>
          <w:bCs/>
          <w:sz w:val="24"/>
          <w:szCs w:val="24"/>
        </w:rPr>
      </w:pPr>
      <w:r>
        <w:rPr>
          <w:rFonts w:hint="eastAsia" w:ascii="宋体" w:hAnsi="宋体"/>
          <w:bCs/>
          <w:sz w:val="24"/>
          <w:szCs w:val="24"/>
        </w:rPr>
        <w:t xml:space="preserve"> </w:t>
      </w:r>
    </w:p>
    <w:p>
      <w:pPr>
        <w:rPr>
          <w:rFonts w:hint="eastAsia" w:ascii="宋体" w:hAnsi="宋体"/>
          <w:b/>
          <w:bCs/>
          <w:color w:val="000000"/>
        </w:rPr>
      </w:pPr>
    </w:p>
    <w:p>
      <w:pPr>
        <w:pStyle w:val="2"/>
        <w:rPr>
          <w:rFonts w:hint="eastAsia" w:ascii="宋体" w:hAnsi="宋体"/>
          <w:b/>
          <w:bCs/>
          <w:color w:val="000000"/>
        </w:rPr>
      </w:pPr>
    </w:p>
    <w:p>
      <w:pPr>
        <w:pStyle w:val="3"/>
        <w:rPr>
          <w:rFonts w:hint="eastAsia" w:ascii="宋体" w:hAnsi="宋体"/>
          <w:b/>
          <w:bCs/>
          <w:color w:val="000000"/>
        </w:rPr>
      </w:pPr>
    </w:p>
    <w:p>
      <w:pPr>
        <w:pStyle w:val="5"/>
        <w:rPr>
          <w:rFonts w:hint="eastAsia" w:ascii="宋体" w:hAnsi="宋体"/>
          <w:b/>
          <w:bCs/>
          <w:color w:val="000000"/>
        </w:rPr>
      </w:pPr>
    </w:p>
    <w:p>
      <w:pPr>
        <w:rPr>
          <w:rFonts w:hint="eastAsia" w:ascii="宋体" w:hAnsi="宋体"/>
          <w:b/>
          <w:bCs/>
          <w:color w:val="000000"/>
        </w:rPr>
      </w:pPr>
    </w:p>
    <w:p>
      <w:pPr>
        <w:pStyle w:val="2"/>
        <w:rPr>
          <w:rFonts w:hint="eastAsia"/>
        </w:rPr>
      </w:pPr>
    </w:p>
    <w:p>
      <w:pPr>
        <w:rPr>
          <w:rFonts w:ascii="宋体" w:hAnsi="宋体"/>
          <w:b/>
          <w:bCs/>
          <w:color w:val="000000"/>
          <w:sz w:val="28"/>
          <w:szCs w:val="28"/>
        </w:rPr>
      </w:pPr>
      <w:r>
        <w:rPr>
          <w:rFonts w:hint="eastAsia" w:ascii="宋体" w:hAnsi="宋体"/>
          <w:b/>
          <w:bCs/>
          <w:color w:val="000000"/>
        </w:rPr>
        <w:t>附1</w:t>
      </w:r>
    </w:p>
    <w:p>
      <w:pPr>
        <w:spacing w:line="560" w:lineRule="exact"/>
        <w:jc w:val="center"/>
        <w:rPr>
          <w:rFonts w:ascii="宋体" w:hAnsi="宋体"/>
          <w:b/>
          <w:bCs/>
          <w:color w:val="000000"/>
          <w:sz w:val="32"/>
          <w:szCs w:val="32"/>
        </w:rPr>
      </w:pPr>
      <w:r>
        <w:rPr>
          <w:rFonts w:hint="eastAsia" w:ascii="宋体" w:hAnsi="宋体"/>
          <w:b/>
          <w:bCs/>
          <w:color w:val="000000"/>
          <w:sz w:val="32"/>
          <w:szCs w:val="32"/>
        </w:rPr>
        <w:t>中小企业声明函（货物）</w:t>
      </w:r>
    </w:p>
    <w:p>
      <w:pPr>
        <w:spacing w:line="560" w:lineRule="exact"/>
        <w:jc w:val="center"/>
        <w:rPr>
          <w:rFonts w:ascii="宋体" w:hAnsi="宋体"/>
          <w:b/>
          <w:bCs/>
          <w:color w:val="000000"/>
          <w:sz w:val="32"/>
          <w:szCs w:val="32"/>
        </w:rPr>
      </w:pPr>
    </w:p>
    <w:p>
      <w:pPr>
        <w:widowControl/>
        <w:ind w:firstLine="560" w:firstLineChars="200"/>
        <w:jc w:val="left"/>
        <w:rPr>
          <w:rFonts w:ascii="宋体" w:hAnsi="宋体" w:cs="宋体"/>
          <w:sz w:val="28"/>
          <w:szCs w:val="28"/>
        </w:rPr>
      </w:pPr>
      <w:r>
        <w:rPr>
          <w:rFonts w:hint="eastAsia" w:ascii="宋体" w:hAnsi="宋体" w:cs="宋体"/>
          <w:sz w:val="28"/>
          <w:szCs w:val="28"/>
        </w:rPr>
        <w:t>本公司（联合体）郑重声明，根据《政府采购促进中小企业发展管理办法》（财库﹝2020﹞46 号）的规定，本公司（联合体）参加</w:t>
      </w:r>
      <w:r>
        <w:rPr>
          <w:rFonts w:hint="eastAsia" w:ascii="宋体" w:hAnsi="宋体" w:cs="宋体"/>
          <w:i/>
          <w:iCs/>
          <w:sz w:val="28"/>
          <w:szCs w:val="28"/>
          <w:u w:val="single"/>
        </w:rPr>
        <w:t>（单位名称）</w:t>
      </w:r>
      <w:r>
        <w:rPr>
          <w:rFonts w:hint="eastAsia" w:ascii="宋体" w:hAnsi="宋体" w:cs="宋体"/>
          <w:sz w:val="28"/>
          <w:szCs w:val="28"/>
        </w:rPr>
        <w:t>的</w:t>
      </w:r>
      <w:r>
        <w:rPr>
          <w:rFonts w:hint="eastAsia" w:ascii="宋体" w:hAnsi="宋体" w:cs="宋体"/>
          <w:i/>
          <w:iCs/>
          <w:sz w:val="28"/>
          <w:szCs w:val="28"/>
          <w:u w:val="single"/>
        </w:rPr>
        <w:t>（项目名称）</w:t>
      </w:r>
      <w:r>
        <w:rPr>
          <w:rFonts w:hint="eastAsia" w:ascii="宋体" w:hAnsi="宋体" w:cs="宋体"/>
          <w:sz w:val="28"/>
          <w:szCs w:val="28"/>
        </w:rPr>
        <w:t>采购活动，提供的货物全部由符合政策要求的中小企业制造。相关企业（含联合体中的中小企业、签订分包意向协议的中小企业）的具体情况如下：</w:t>
      </w:r>
    </w:p>
    <w:p>
      <w:pPr>
        <w:widowControl/>
        <w:ind w:firstLine="560" w:firstLineChars="200"/>
        <w:jc w:val="left"/>
        <w:rPr>
          <w:rFonts w:ascii="宋体" w:hAnsi="宋体" w:cs="宋体"/>
          <w:sz w:val="28"/>
          <w:szCs w:val="28"/>
        </w:rPr>
      </w:pPr>
      <w:r>
        <w:rPr>
          <w:rFonts w:hint="eastAsia" w:ascii="宋体" w:hAnsi="宋体" w:cs="宋体"/>
          <w:sz w:val="28"/>
          <w:szCs w:val="28"/>
        </w:rPr>
        <w:t>1.</w:t>
      </w:r>
      <w:r>
        <w:rPr>
          <w:rFonts w:hint="eastAsia" w:ascii="宋体" w:hAnsi="宋体" w:cs="宋体"/>
          <w:i/>
          <w:iCs/>
          <w:sz w:val="28"/>
          <w:szCs w:val="28"/>
          <w:u w:val="single"/>
        </w:rPr>
        <w:t xml:space="preserve">（标的名称） </w:t>
      </w:r>
      <w:r>
        <w:rPr>
          <w:rFonts w:hint="eastAsia" w:ascii="宋体" w:hAnsi="宋体" w:cs="宋体"/>
          <w:sz w:val="28"/>
          <w:szCs w:val="28"/>
        </w:rPr>
        <w:t>，属于</w:t>
      </w:r>
      <w:r>
        <w:rPr>
          <w:rFonts w:hint="eastAsia" w:ascii="宋体" w:hAnsi="宋体" w:cs="宋体"/>
          <w:i/>
          <w:iCs/>
          <w:sz w:val="28"/>
          <w:szCs w:val="28"/>
          <w:u w:val="single"/>
        </w:rPr>
        <w:t>（采购文件中明确的所属行业）</w:t>
      </w:r>
      <w:r>
        <w:rPr>
          <w:rFonts w:hint="eastAsia" w:ascii="宋体" w:hAnsi="宋体" w:cs="宋体"/>
          <w:sz w:val="28"/>
          <w:szCs w:val="28"/>
        </w:rPr>
        <w:t>行业；制造商为</w:t>
      </w:r>
      <w:r>
        <w:rPr>
          <w:rFonts w:hint="eastAsia" w:ascii="宋体" w:hAnsi="宋体" w:cs="宋体"/>
          <w:i/>
          <w:iCs/>
          <w:sz w:val="28"/>
          <w:szCs w:val="28"/>
          <w:u w:val="single"/>
        </w:rPr>
        <w:t>（企业名称）</w:t>
      </w:r>
      <w:r>
        <w:rPr>
          <w:rFonts w:hint="eastAsia" w:ascii="宋体" w:hAnsi="宋体" w:cs="宋体"/>
          <w:sz w:val="28"/>
          <w:szCs w:val="28"/>
        </w:rPr>
        <w:t>，从业人员人，营业收入为万元，资产总额为万元，属于</w:t>
      </w:r>
      <w:r>
        <w:rPr>
          <w:rFonts w:hint="eastAsia" w:ascii="宋体" w:hAnsi="宋体" w:cs="宋体"/>
          <w:i/>
          <w:iCs/>
          <w:sz w:val="28"/>
          <w:szCs w:val="28"/>
          <w:u w:val="single"/>
        </w:rPr>
        <w:t>（中型企业、小型企业、微型企业）</w:t>
      </w:r>
      <w:r>
        <w:rPr>
          <w:rFonts w:hint="eastAsia" w:ascii="宋体" w:hAnsi="宋体" w:cs="宋体"/>
          <w:sz w:val="28"/>
          <w:szCs w:val="28"/>
        </w:rPr>
        <w:t>；</w:t>
      </w:r>
    </w:p>
    <w:p>
      <w:pPr>
        <w:widowControl/>
        <w:numPr>
          <w:ilvl w:val="0"/>
          <w:numId w:val="7"/>
        </w:numPr>
        <w:ind w:firstLine="560" w:firstLineChars="200"/>
        <w:jc w:val="left"/>
        <w:rPr>
          <w:rFonts w:ascii="宋体" w:hAnsi="宋体" w:cs="宋体"/>
          <w:sz w:val="28"/>
          <w:szCs w:val="28"/>
        </w:rPr>
      </w:pPr>
      <w:r>
        <w:rPr>
          <w:rFonts w:hint="eastAsia" w:ascii="宋体" w:hAnsi="宋体" w:cs="宋体"/>
          <w:i/>
          <w:iCs/>
          <w:sz w:val="28"/>
          <w:szCs w:val="28"/>
          <w:u w:val="single"/>
        </w:rPr>
        <w:t xml:space="preserve">（标的名称） </w:t>
      </w:r>
      <w:r>
        <w:rPr>
          <w:rFonts w:hint="eastAsia" w:ascii="宋体" w:hAnsi="宋体" w:cs="宋体"/>
          <w:sz w:val="28"/>
          <w:szCs w:val="28"/>
        </w:rPr>
        <w:t>，属于</w:t>
      </w:r>
      <w:r>
        <w:rPr>
          <w:rFonts w:hint="eastAsia" w:ascii="宋体" w:hAnsi="宋体" w:cs="宋体"/>
          <w:i/>
          <w:iCs/>
          <w:sz w:val="28"/>
          <w:szCs w:val="28"/>
          <w:u w:val="single"/>
        </w:rPr>
        <w:t>（采购文件中明确的所属行业）</w:t>
      </w:r>
      <w:r>
        <w:rPr>
          <w:rFonts w:hint="eastAsia" w:ascii="宋体" w:hAnsi="宋体" w:cs="宋体"/>
          <w:sz w:val="28"/>
          <w:szCs w:val="28"/>
        </w:rPr>
        <w:t>行业；制造商为</w:t>
      </w:r>
      <w:r>
        <w:rPr>
          <w:rFonts w:hint="eastAsia" w:ascii="宋体" w:hAnsi="宋体" w:cs="宋体"/>
          <w:i/>
          <w:iCs/>
          <w:sz w:val="28"/>
          <w:szCs w:val="28"/>
          <w:u w:val="single"/>
        </w:rPr>
        <w:t>（企业名称）</w:t>
      </w:r>
      <w:r>
        <w:rPr>
          <w:rFonts w:hint="eastAsia" w:ascii="宋体" w:hAnsi="宋体" w:cs="宋体"/>
          <w:sz w:val="28"/>
          <w:szCs w:val="28"/>
        </w:rPr>
        <w:t>，从业人员人，营业收入为万元，资产总额为万元，属于</w:t>
      </w:r>
      <w:r>
        <w:rPr>
          <w:rFonts w:hint="eastAsia" w:ascii="宋体" w:hAnsi="宋体" w:cs="宋体"/>
          <w:i/>
          <w:iCs/>
          <w:sz w:val="28"/>
          <w:szCs w:val="28"/>
          <w:u w:val="single"/>
        </w:rPr>
        <w:t>（中型企业、小型企业、微型企业）</w:t>
      </w:r>
      <w:r>
        <w:rPr>
          <w:rFonts w:hint="eastAsia" w:ascii="宋体" w:hAnsi="宋体" w:cs="宋体"/>
          <w:sz w:val="28"/>
          <w:szCs w:val="28"/>
        </w:rPr>
        <w:t>；</w:t>
      </w:r>
    </w:p>
    <w:p>
      <w:pPr>
        <w:widowControl/>
        <w:ind w:firstLine="560" w:firstLineChars="200"/>
        <w:jc w:val="left"/>
        <w:rPr>
          <w:rFonts w:ascii="宋体" w:hAnsi="宋体" w:cs="宋体"/>
          <w:sz w:val="28"/>
          <w:szCs w:val="28"/>
        </w:rPr>
      </w:pPr>
      <w:r>
        <w:rPr>
          <w:rFonts w:hint="eastAsia" w:ascii="宋体" w:hAnsi="宋体" w:cs="宋体"/>
          <w:sz w:val="28"/>
          <w:szCs w:val="28"/>
        </w:rPr>
        <w:t>……</w:t>
      </w:r>
    </w:p>
    <w:p>
      <w:pPr>
        <w:widowControl/>
        <w:ind w:firstLine="560" w:firstLineChars="200"/>
        <w:jc w:val="left"/>
        <w:rPr>
          <w:rFonts w:ascii="宋体" w:hAnsi="宋体" w:cs="宋体"/>
          <w:sz w:val="28"/>
          <w:szCs w:val="28"/>
        </w:rPr>
      </w:pPr>
      <w:r>
        <w:rPr>
          <w:rFonts w:hint="eastAsia" w:ascii="宋体" w:hAnsi="宋体" w:cs="宋体"/>
          <w:sz w:val="28"/>
          <w:szCs w:val="28"/>
        </w:rPr>
        <w:t>以上企业，不属于大企业的分支机构，不存在控股股东为大企业的情形，也不存在与大企业的负责人为同一人的情形。</w:t>
      </w:r>
    </w:p>
    <w:p>
      <w:pPr>
        <w:widowControl/>
        <w:ind w:firstLine="560" w:firstLineChars="200"/>
        <w:jc w:val="left"/>
        <w:rPr>
          <w:rFonts w:ascii="宋体" w:hAnsi="宋体" w:cs="宋体"/>
          <w:sz w:val="28"/>
          <w:szCs w:val="28"/>
        </w:rPr>
      </w:pPr>
      <w:r>
        <w:rPr>
          <w:rFonts w:hint="eastAsia" w:ascii="宋体" w:hAnsi="宋体" w:cs="宋体"/>
          <w:sz w:val="28"/>
          <w:szCs w:val="28"/>
        </w:rPr>
        <w:t>本企业对上述声明内容的真实性负责。如有虚假，将依法承担相应责任。</w:t>
      </w:r>
    </w:p>
    <w:p>
      <w:pPr>
        <w:widowControl/>
        <w:ind w:firstLine="4760" w:firstLineChars="1700"/>
        <w:jc w:val="left"/>
        <w:rPr>
          <w:rFonts w:ascii="宋体" w:hAnsi="宋体" w:cs="宋体"/>
          <w:sz w:val="28"/>
          <w:szCs w:val="28"/>
        </w:rPr>
      </w:pPr>
      <w:r>
        <w:rPr>
          <w:rFonts w:hint="eastAsia" w:ascii="宋体" w:hAnsi="宋体" w:cs="宋体"/>
          <w:sz w:val="28"/>
          <w:szCs w:val="28"/>
        </w:rPr>
        <w:t>企业名称（盖章）：</w:t>
      </w:r>
    </w:p>
    <w:p>
      <w:pPr>
        <w:widowControl/>
        <w:ind w:firstLine="4760" w:firstLineChars="1700"/>
        <w:jc w:val="left"/>
        <w:rPr>
          <w:rFonts w:ascii="宋体" w:hAnsi="宋体" w:cs="宋体"/>
          <w:sz w:val="28"/>
          <w:szCs w:val="28"/>
        </w:rPr>
      </w:pPr>
      <w:r>
        <w:rPr>
          <w:rFonts w:hint="eastAsia" w:ascii="宋体" w:hAnsi="宋体" w:cs="宋体"/>
          <w:sz w:val="28"/>
          <w:szCs w:val="28"/>
        </w:rPr>
        <w:t>日期：</w:t>
      </w:r>
    </w:p>
    <w:p>
      <w:pPr>
        <w:spacing w:line="560" w:lineRule="exact"/>
        <w:jc w:val="center"/>
        <w:rPr>
          <w:rFonts w:ascii="宋体" w:hAnsi="宋体"/>
          <w:b/>
          <w:bCs/>
          <w:color w:val="000000"/>
        </w:rPr>
      </w:pPr>
      <w:r>
        <w:rPr>
          <w:rFonts w:hint="eastAsia" w:ascii="宋体" w:hAnsi="宋体"/>
          <w:b/>
          <w:bCs/>
          <w:color w:val="000000"/>
        </w:rPr>
        <w:t>从业人员、营业收入、资产总额填报上一年度数据，无上一年度数据的新成立企业可不填报。</w:t>
      </w:r>
    </w:p>
    <w:p>
      <w:pPr>
        <w:spacing w:line="560" w:lineRule="exact"/>
        <w:jc w:val="center"/>
        <w:rPr>
          <w:rFonts w:ascii="宋体" w:hAnsi="宋体"/>
          <w:b/>
          <w:bCs/>
          <w:color w:val="000000"/>
          <w:sz w:val="24"/>
          <w:szCs w:val="24"/>
        </w:rPr>
      </w:pPr>
    </w:p>
    <w:p>
      <w:pPr>
        <w:spacing w:line="560" w:lineRule="exact"/>
        <w:jc w:val="center"/>
        <w:rPr>
          <w:rFonts w:ascii="宋体" w:hAnsi="宋体"/>
          <w:b/>
          <w:bCs/>
          <w:color w:val="000000"/>
          <w:sz w:val="24"/>
          <w:szCs w:val="24"/>
        </w:rPr>
      </w:pPr>
    </w:p>
    <w:p>
      <w:pPr>
        <w:spacing w:line="560" w:lineRule="exact"/>
        <w:jc w:val="center"/>
        <w:rPr>
          <w:rFonts w:ascii="宋体" w:hAnsi="宋体"/>
          <w:b/>
          <w:bCs/>
          <w:color w:val="000000"/>
          <w:sz w:val="24"/>
          <w:szCs w:val="24"/>
        </w:rPr>
      </w:pPr>
    </w:p>
    <w:p>
      <w:pPr>
        <w:spacing w:line="560" w:lineRule="exact"/>
        <w:jc w:val="center"/>
        <w:rPr>
          <w:rFonts w:ascii="宋体" w:hAnsi="宋体"/>
          <w:b/>
          <w:bCs/>
          <w:color w:val="000000"/>
          <w:sz w:val="32"/>
          <w:szCs w:val="32"/>
        </w:rPr>
      </w:pPr>
      <w:r>
        <w:rPr>
          <w:rFonts w:hint="eastAsia" w:ascii="宋体" w:hAnsi="宋体"/>
          <w:b/>
          <w:bCs/>
          <w:color w:val="000000"/>
          <w:sz w:val="32"/>
          <w:szCs w:val="32"/>
        </w:rPr>
        <w:t>中小企业声明函（工程、服务）</w:t>
      </w:r>
    </w:p>
    <w:p>
      <w:pPr>
        <w:spacing w:line="560" w:lineRule="exact"/>
        <w:rPr>
          <w:rFonts w:ascii="宋体" w:hAnsi="宋体"/>
          <w:b/>
          <w:bCs/>
          <w:color w:val="000000"/>
          <w:sz w:val="28"/>
          <w:szCs w:val="28"/>
        </w:rPr>
      </w:pPr>
    </w:p>
    <w:p>
      <w:pPr>
        <w:widowControl/>
        <w:ind w:firstLine="560" w:firstLineChars="200"/>
        <w:jc w:val="left"/>
        <w:rPr>
          <w:rFonts w:ascii="宋体" w:hAnsi="宋体" w:cs="宋体"/>
          <w:sz w:val="28"/>
          <w:szCs w:val="28"/>
        </w:rPr>
      </w:pPr>
      <w:r>
        <w:rPr>
          <w:rFonts w:hint="eastAsia" w:ascii="宋体" w:hAnsi="宋体" w:cs="宋体"/>
          <w:sz w:val="28"/>
          <w:szCs w:val="28"/>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pPr>
        <w:widowControl/>
        <w:ind w:firstLine="560" w:firstLineChars="200"/>
        <w:jc w:val="left"/>
        <w:rPr>
          <w:rFonts w:ascii="宋体" w:hAnsi="宋体" w:cs="宋体"/>
          <w:sz w:val="28"/>
          <w:szCs w:val="28"/>
        </w:rPr>
      </w:pPr>
      <w:r>
        <w:rPr>
          <w:rFonts w:hint="eastAsia" w:ascii="宋体" w:hAnsi="宋体" w:cs="宋体"/>
          <w:sz w:val="28"/>
          <w:szCs w:val="28"/>
        </w:rPr>
        <w:t>1.</w:t>
      </w:r>
      <w:r>
        <w:rPr>
          <w:rFonts w:hint="eastAsia" w:ascii="宋体" w:hAnsi="宋体" w:cs="宋体"/>
          <w:i/>
          <w:iCs/>
          <w:sz w:val="28"/>
          <w:szCs w:val="28"/>
          <w:u w:val="single"/>
        </w:rPr>
        <w:t xml:space="preserve">（标的名称） </w:t>
      </w:r>
      <w:r>
        <w:rPr>
          <w:rFonts w:hint="eastAsia" w:ascii="宋体" w:hAnsi="宋体" w:cs="宋体"/>
          <w:sz w:val="28"/>
          <w:szCs w:val="28"/>
        </w:rPr>
        <w:t>，属于</w:t>
      </w:r>
      <w:r>
        <w:rPr>
          <w:rFonts w:hint="eastAsia" w:ascii="宋体" w:hAnsi="宋体" w:cs="宋体"/>
          <w:i/>
          <w:iCs/>
          <w:sz w:val="28"/>
          <w:szCs w:val="28"/>
          <w:u w:val="single"/>
        </w:rPr>
        <w:t>（采购文件中明确的所属行业）</w:t>
      </w:r>
      <w:r>
        <w:rPr>
          <w:rFonts w:hint="eastAsia" w:ascii="宋体" w:hAnsi="宋体" w:cs="宋体"/>
          <w:sz w:val="28"/>
          <w:szCs w:val="28"/>
        </w:rPr>
        <w:t>行业；制造商为</w:t>
      </w:r>
      <w:r>
        <w:rPr>
          <w:rFonts w:hint="eastAsia" w:ascii="宋体" w:hAnsi="宋体" w:cs="宋体"/>
          <w:i/>
          <w:iCs/>
          <w:sz w:val="28"/>
          <w:szCs w:val="28"/>
          <w:u w:val="single"/>
        </w:rPr>
        <w:t>（企业名称）</w:t>
      </w:r>
      <w:r>
        <w:rPr>
          <w:rFonts w:hint="eastAsia" w:ascii="宋体" w:hAnsi="宋体" w:cs="宋体"/>
          <w:sz w:val="28"/>
          <w:szCs w:val="28"/>
        </w:rPr>
        <w:t>，从业人员人，营业收入为万元，资产总额为万元，属于</w:t>
      </w:r>
      <w:r>
        <w:rPr>
          <w:rFonts w:hint="eastAsia" w:ascii="宋体" w:hAnsi="宋体" w:cs="宋体"/>
          <w:i/>
          <w:iCs/>
          <w:sz w:val="28"/>
          <w:szCs w:val="28"/>
          <w:u w:val="single"/>
        </w:rPr>
        <w:t>（中型企业、小型企业、微型企业）</w:t>
      </w:r>
      <w:r>
        <w:rPr>
          <w:rFonts w:hint="eastAsia" w:ascii="宋体" w:hAnsi="宋体" w:cs="宋体"/>
          <w:sz w:val="28"/>
          <w:szCs w:val="28"/>
        </w:rPr>
        <w:t>；</w:t>
      </w:r>
    </w:p>
    <w:p>
      <w:pPr>
        <w:widowControl/>
        <w:numPr>
          <w:ilvl w:val="0"/>
          <w:numId w:val="7"/>
        </w:numPr>
        <w:ind w:firstLine="560" w:firstLineChars="200"/>
        <w:jc w:val="left"/>
        <w:rPr>
          <w:rFonts w:ascii="宋体" w:hAnsi="宋体" w:cs="宋体"/>
          <w:sz w:val="28"/>
          <w:szCs w:val="28"/>
        </w:rPr>
      </w:pPr>
      <w:r>
        <w:rPr>
          <w:rFonts w:hint="eastAsia" w:ascii="宋体" w:hAnsi="宋体" w:cs="宋体"/>
          <w:i/>
          <w:iCs/>
          <w:sz w:val="28"/>
          <w:szCs w:val="28"/>
          <w:u w:val="single"/>
        </w:rPr>
        <w:t xml:space="preserve">（标的名称） </w:t>
      </w:r>
      <w:r>
        <w:rPr>
          <w:rFonts w:hint="eastAsia" w:ascii="宋体" w:hAnsi="宋体" w:cs="宋体"/>
          <w:sz w:val="28"/>
          <w:szCs w:val="28"/>
        </w:rPr>
        <w:t>，属于</w:t>
      </w:r>
      <w:r>
        <w:rPr>
          <w:rFonts w:hint="eastAsia" w:ascii="宋体" w:hAnsi="宋体" w:cs="宋体"/>
          <w:i/>
          <w:iCs/>
          <w:sz w:val="28"/>
          <w:szCs w:val="28"/>
          <w:u w:val="single"/>
        </w:rPr>
        <w:t>（采购文件中明确的所属行业）</w:t>
      </w:r>
      <w:r>
        <w:rPr>
          <w:rFonts w:hint="eastAsia" w:ascii="宋体" w:hAnsi="宋体" w:cs="宋体"/>
          <w:sz w:val="28"/>
          <w:szCs w:val="28"/>
        </w:rPr>
        <w:t>行业；制造商为</w:t>
      </w:r>
      <w:r>
        <w:rPr>
          <w:rFonts w:hint="eastAsia" w:ascii="宋体" w:hAnsi="宋体" w:cs="宋体"/>
          <w:i/>
          <w:iCs/>
          <w:sz w:val="28"/>
          <w:szCs w:val="28"/>
          <w:u w:val="single"/>
        </w:rPr>
        <w:t>（企业名称）</w:t>
      </w:r>
      <w:r>
        <w:rPr>
          <w:rFonts w:hint="eastAsia" w:ascii="宋体" w:hAnsi="宋体" w:cs="宋体"/>
          <w:sz w:val="28"/>
          <w:szCs w:val="28"/>
        </w:rPr>
        <w:t>，从业人员人，营业收入为万元，资产总额为万元，属于</w:t>
      </w:r>
      <w:r>
        <w:rPr>
          <w:rFonts w:hint="eastAsia" w:ascii="宋体" w:hAnsi="宋体" w:cs="宋体"/>
          <w:i/>
          <w:iCs/>
          <w:sz w:val="28"/>
          <w:szCs w:val="28"/>
          <w:u w:val="single"/>
        </w:rPr>
        <w:t>（中型企业、小型企业、微型企业）</w:t>
      </w:r>
      <w:r>
        <w:rPr>
          <w:rFonts w:hint="eastAsia" w:ascii="宋体" w:hAnsi="宋体" w:cs="宋体"/>
          <w:sz w:val="28"/>
          <w:szCs w:val="28"/>
        </w:rPr>
        <w:t>；</w:t>
      </w:r>
    </w:p>
    <w:p>
      <w:pPr>
        <w:widowControl/>
        <w:ind w:firstLine="560" w:firstLineChars="200"/>
        <w:jc w:val="left"/>
        <w:rPr>
          <w:rFonts w:ascii="宋体" w:hAnsi="宋体" w:cs="宋体"/>
          <w:sz w:val="28"/>
          <w:szCs w:val="28"/>
        </w:rPr>
      </w:pPr>
      <w:r>
        <w:rPr>
          <w:rFonts w:hint="eastAsia" w:ascii="宋体" w:hAnsi="宋体" w:cs="宋体"/>
          <w:sz w:val="28"/>
          <w:szCs w:val="28"/>
        </w:rPr>
        <w:t>……</w:t>
      </w:r>
    </w:p>
    <w:p>
      <w:pPr>
        <w:widowControl/>
        <w:ind w:firstLine="560" w:firstLineChars="200"/>
        <w:jc w:val="left"/>
        <w:rPr>
          <w:rFonts w:ascii="宋体" w:hAnsi="宋体" w:cs="宋体"/>
          <w:sz w:val="28"/>
          <w:szCs w:val="28"/>
        </w:rPr>
      </w:pPr>
      <w:r>
        <w:rPr>
          <w:rFonts w:hint="eastAsia" w:ascii="宋体" w:hAnsi="宋体" w:cs="宋体"/>
          <w:sz w:val="28"/>
          <w:szCs w:val="28"/>
        </w:rPr>
        <w:t>以上企业，不属于大企业的分支机构，不存在控股股东为大企业的情形，也不存在与大企业的负责人为同一人的情形。</w:t>
      </w:r>
    </w:p>
    <w:p>
      <w:pPr>
        <w:widowControl/>
        <w:ind w:firstLine="560" w:firstLineChars="200"/>
        <w:jc w:val="left"/>
        <w:rPr>
          <w:rFonts w:ascii="宋体" w:hAnsi="宋体" w:cs="宋体"/>
          <w:sz w:val="28"/>
          <w:szCs w:val="28"/>
        </w:rPr>
      </w:pPr>
      <w:r>
        <w:rPr>
          <w:rFonts w:hint="eastAsia" w:ascii="宋体" w:hAnsi="宋体" w:cs="宋体"/>
          <w:sz w:val="28"/>
          <w:szCs w:val="28"/>
        </w:rPr>
        <w:t>本企业对上述声明内容的真实性负责。如有虚假，将依法承担相应责任。</w:t>
      </w:r>
    </w:p>
    <w:p>
      <w:pPr>
        <w:widowControl/>
        <w:ind w:firstLine="4760" w:firstLineChars="1700"/>
        <w:jc w:val="left"/>
        <w:rPr>
          <w:rFonts w:ascii="宋体" w:hAnsi="宋体" w:cs="宋体"/>
          <w:sz w:val="28"/>
          <w:szCs w:val="28"/>
        </w:rPr>
      </w:pPr>
      <w:r>
        <w:rPr>
          <w:rFonts w:hint="eastAsia" w:ascii="宋体" w:hAnsi="宋体" w:cs="宋体"/>
          <w:sz w:val="28"/>
          <w:szCs w:val="28"/>
        </w:rPr>
        <w:t>企业名称（盖章）：</w:t>
      </w:r>
    </w:p>
    <w:p>
      <w:pPr>
        <w:widowControl/>
        <w:ind w:firstLine="4760" w:firstLineChars="1700"/>
        <w:jc w:val="left"/>
        <w:rPr>
          <w:rFonts w:ascii="宋体" w:hAnsi="宋体" w:cs="宋体"/>
          <w:sz w:val="28"/>
          <w:szCs w:val="28"/>
        </w:rPr>
      </w:pPr>
      <w:r>
        <w:rPr>
          <w:rFonts w:hint="eastAsia" w:ascii="宋体" w:hAnsi="宋体" w:cs="宋体"/>
          <w:sz w:val="28"/>
          <w:szCs w:val="28"/>
        </w:rPr>
        <w:t>日期：</w:t>
      </w:r>
    </w:p>
    <w:p>
      <w:pPr>
        <w:spacing w:line="560" w:lineRule="exact"/>
        <w:jc w:val="center"/>
        <w:rPr>
          <w:rFonts w:ascii="宋体" w:hAnsi="宋体"/>
          <w:b/>
          <w:bCs/>
          <w:color w:val="000000"/>
        </w:rPr>
      </w:pPr>
      <w:r>
        <w:rPr>
          <w:rFonts w:hint="eastAsia" w:ascii="宋体" w:hAnsi="宋体"/>
          <w:b/>
          <w:bCs/>
          <w:color w:val="000000"/>
        </w:rPr>
        <w:t>从业人员、营业收入、资产总额填报上一年度数据，无上一年度数据的新成立企业可不填报。</w:t>
      </w:r>
    </w:p>
    <w:p>
      <w:pPr>
        <w:spacing w:line="360" w:lineRule="auto"/>
        <w:rPr>
          <w:b/>
          <w:sz w:val="24"/>
          <w:szCs w:val="24"/>
        </w:rPr>
      </w:pPr>
    </w:p>
    <w:p>
      <w:pPr>
        <w:spacing w:line="360" w:lineRule="auto"/>
        <w:rPr>
          <w:b/>
          <w:sz w:val="24"/>
          <w:szCs w:val="24"/>
        </w:rPr>
      </w:pPr>
    </w:p>
    <w:p>
      <w:pPr>
        <w:pStyle w:val="38"/>
        <w:ind w:firstLine="600"/>
      </w:pPr>
    </w:p>
    <w:p>
      <w:pPr>
        <w:spacing w:line="360" w:lineRule="auto"/>
        <w:rPr>
          <w:rFonts w:ascii="宋体" w:hAnsi="宋体"/>
          <w:b/>
          <w:sz w:val="24"/>
          <w:szCs w:val="24"/>
        </w:rPr>
      </w:pPr>
      <w:r>
        <w:rPr>
          <w:rFonts w:hint="eastAsia"/>
          <w:b/>
          <w:sz w:val="24"/>
          <w:szCs w:val="24"/>
        </w:rPr>
        <w:t>附件：2</w:t>
      </w:r>
      <w:r>
        <w:rPr>
          <w:rFonts w:hint="eastAsia" w:ascii="宋体" w:hAnsi="宋体"/>
          <w:b/>
          <w:sz w:val="24"/>
          <w:szCs w:val="24"/>
        </w:rPr>
        <w:t>残疾人福利性单位声明函</w:t>
      </w:r>
    </w:p>
    <w:p>
      <w:pPr>
        <w:spacing w:line="360" w:lineRule="auto"/>
        <w:rPr>
          <w:rFonts w:ascii="宋体" w:hAnsi="宋体"/>
          <w:b/>
          <w:sz w:val="24"/>
          <w:szCs w:val="24"/>
        </w:rPr>
      </w:pPr>
    </w:p>
    <w:p>
      <w:pPr>
        <w:spacing w:line="360" w:lineRule="auto"/>
        <w:ind w:firstLine="482" w:firstLineChars="200"/>
        <w:jc w:val="center"/>
        <w:rPr>
          <w:rFonts w:ascii="宋体" w:hAnsi="宋体"/>
          <w:b/>
          <w:sz w:val="24"/>
          <w:szCs w:val="24"/>
        </w:rPr>
      </w:pPr>
      <w:r>
        <w:rPr>
          <w:rFonts w:hint="eastAsia" w:ascii="宋体" w:hAnsi="宋体"/>
          <w:b/>
          <w:sz w:val="24"/>
          <w:szCs w:val="24"/>
        </w:rPr>
        <w:t>残疾人福利性单位声明函</w:t>
      </w:r>
    </w:p>
    <w:p>
      <w:pPr>
        <w:spacing w:line="360" w:lineRule="auto"/>
        <w:jc w:val="center"/>
        <w:rPr>
          <w:rFonts w:ascii="宋体" w:hAnsi="宋体"/>
          <w:b/>
          <w:sz w:val="24"/>
          <w:szCs w:val="24"/>
        </w:rPr>
      </w:pPr>
    </w:p>
    <w:p>
      <w:pPr>
        <w:spacing w:line="500" w:lineRule="exact"/>
        <w:ind w:firstLine="480" w:firstLineChars="200"/>
        <w:rPr>
          <w:rFonts w:ascii="宋体" w:hAnsi="宋体"/>
          <w:sz w:val="24"/>
          <w:szCs w:val="24"/>
        </w:rPr>
      </w:pPr>
      <w:r>
        <w:rPr>
          <w:rFonts w:hint="eastAsia" w:ascii="宋体" w:hAnsi="宋体"/>
          <w:sz w:val="24"/>
          <w:szCs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00" w:lineRule="exact"/>
        <w:ind w:firstLine="480" w:firstLineChars="200"/>
        <w:rPr>
          <w:rFonts w:ascii="宋体" w:hAnsi="宋体"/>
          <w:sz w:val="24"/>
          <w:szCs w:val="24"/>
        </w:rPr>
      </w:pPr>
      <w:r>
        <w:rPr>
          <w:rFonts w:hint="eastAsia" w:ascii="宋体" w:hAnsi="宋体"/>
          <w:sz w:val="24"/>
          <w:szCs w:val="24"/>
        </w:rPr>
        <w:t>本单位对上述声明的真实性负责。如有虚假，将依法承担相应责任。</w:t>
      </w:r>
    </w:p>
    <w:p>
      <w:pPr>
        <w:spacing w:line="500" w:lineRule="exact"/>
        <w:ind w:firstLine="3960" w:firstLineChars="1650"/>
        <w:rPr>
          <w:rStyle w:val="111"/>
          <w:sz w:val="24"/>
          <w:szCs w:val="24"/>
          <w:u w:val="single"/>
        </w:rPr>
      </w:pPr>
      <w:r>
        <w:rPr>
          <w:rFonts w:hint="eastAsia" w:ascii="宋体" w:hAnsi="宋体"/>
          <w:kern w:val="0"/>
          <w:sz w:val="24"/>
          <w:szCs w:val="24"/>
        </w:rPr>
        <w:t>残疾人福利性</w:t>
      </w:r>
      <w:r>
        <w:rPr>
          <w:rFonts w:hint="eastAsia" w:ascii="宋体" w:hAnsi="宋体"/>
          <w:sz w:val="24"/>
          <w:szCs w:val="24"/>
        </w:rPr>
        <w:t>单位名称（盖章）：</w:t>
      </w:r>
    </w:p>
    <w:p>
      <w:pPr>
        <w:spacing w:line="500" w:lineRule="exact"/>
        <w:rPr>
          <w:rFonts w:ascii="宋体"/>
          <w:b/>
          <w:sz w:val="24"/>
          <w:szCs w:val="24"/>
        </w:rPr>
      </w:pPr>
      <w:r>
        <w:rPr>
          <w:rFonts w:hint="eastAsia" w:ascii="宋体" w:hAnsi="宋体"/>
          <w:sz w:val="24"/>
          <w:szCs w:val="24"/>
        </w:rPr>
        <w:t>日</w:t>
      </w:r>
      <w:r>
        <w:rPr>
          <w:rStyle w:val="111"/>
          <w:rFonts w:hint="eastAsia" w:ascii="宋体" w:hAnsi="宋体"/>
          <w:sz w:val="24"/>
          <w:szCs w:val="24"/>
        </w:rPr>
        <w:t> </w:t>
      </w:r>
      <w:r>
        <w:rPr>
          <w:rFonts w:hint="eastAsia" w:ascii="宋体" w:hAnsi="宋体"/>
          <w:sz w:val="24"/>
          <w:szCs w:val="24"/>
        </w:rPr>
        <w:t> 期：</w:t>
      </w:r>
    </w:p>
    <w:p>
      <w:pPr>
        <w:spacing w:line="500" w:lineRule="exact"/>
        <w:ind w:firstLine="482"/>
        <w:rPr>
          <w:rFonts w:ascii="宋体"/>
          <w:b/>
          <w:sz w:val="24"/>
          <w:szCs w:val="24"/>
        </w:rPr>
      </w:pPr>
    </w:p>
    <w:p>
      <w:pPr>
        <w:spacing w:line="500" w:lineRule="exact"/>
        <w:ind w:firstLine="723" w:firstLineChars="200"/>
        <w:jc w:val="center"/>
        <w:rPr>
          <w:rFonts w:ascii="宋体" w:hAnsi="宋体"/>
          <w:b/>
          <w:sz w:val="36"/>
          <w:szCs w:val="36"/>
        </w:rPr>
      </w:pPr>
    </w:p>
    <w:p>
      <w:pPr>
        <w:spacing w:line="500" w:lineRule="exact"/>
        <w:ind w:firstLine="723" w:firstLineChars="200"/>
        <w:jc w:val="center"/>
        <w:rPr>
          <w:rFonts w:ascii="宋体" w:hAnsi="宋体"/>
          <w:b/>
          <w:sz w:val="36"/>
          <w:szCs w:val="36"/>
        </w:rPr>
      </w:pPr>
    </w:p>
    <w:p>
      <w:pPr>
        <w:spacing w:line="500" w:lineRule="exact"/>
        <w:ind w:firstLine="723" w:firstLineChars="200"/>
        <w:jc w:val="center"/>
        <w:rPr>
          <w:rFonts w:ascii="宋体" w:hAnsi="宋体"/>
          <w:b/>
          <w:sz w:val="36"/>
          <w:szCs w:val="36"/>
        </w:rPr>
      </w:pPr>
    </w:p>
    <w:p>
      <w:pPr>
        <w:spacing w:line="500" w:lineRule="exact"/>
        <w:ind w:firstLine="723" w:firstLineChars="200"/>
        <w:jc w:val="center"/>
        <w:rPr>
          <w:rFonts w:ascii="宋体" w:hAnsi="宋体"/>
          <w:b/>
          <w:sz w:val="36"/>
          <w:szCs w:val="36"/>
        </w:rPr>
      </w:pPr>
    </w:p>
    <w:p>
      <w:pPr>
        <w:spacing w:line="500" w:lineRule="exact"/>
        <w:ind w:firstLine="723" w:firstLineChars="200"/>
        <w:jc w:val="center"/>
        <w:rPr>
          <w:rFonts w:ascii="宋体" w:hAnsi="宋体"/>
          <w:b/>
          <w:sz w:val="36"/>
          <w:szCs w:val="36"/>
        </w:rPr>
      </w:pPr>
    </w:p>
    <w:p>
      <w:pPr>
        <w:spacing w:line="500" w:lineRule="exact"/>
        <w:ind w:firstLine="723" w:firstLineChars="200"/>
        <w:jc w:val="center"/>
        <w:rPr>
          <w:rFonts w:ascii="宋体" w:hAnsi="宋体"/>
          <w:b/>
          <w:sz w:val="36"/>
          <w:szCs w:val="36"/>
        </w:rPr>
      </w:pPr>
    </w:p>
    <w:p>
      <w:pPr>
        <w:spacing w:line="500" w:lineRule="exact"/>
        <w:ind w:firstLine="723" w:firstLineChars="200"/>
        <w:jc w:val="center"/>
        <w:rPr>
          <w:rFonts w:ascii="宋体" w:hAnsi="宋体"/>
          <w:b/>
          <w:sz w:val="36"/>
          <w:szCs w:val="36"/>
        </w:rPr>
      </w:pPr>
    </w:p>
    <w:p>
      <w:pPr>
        <w:spacing w:line="500" w:lineRule="exact"/>
        <w:ind w:firstLine="723" w:firstLineChars="200"/>
        <w:jc w:val="center"/>
        <w:rPr>
          <w:rFonts w:ascii="宋体" w:hAnsi="宋体"/>
          <w:b/>
          <w:sz w:val="36"/>
          <w:szCs w:val="36"/>
        </w:rPr>
      </w:pPr>
    </w:p>
    <w:p>
      <w:pPr>
        <w:spacing w:line="500" w:lineRule="exact"/>
        <w:ind w:firstLine="723" w:firstLineChars="200"/>
        <w:jc w:val="center"/>
        <w:rPr>
          <w:rFonts w:ascii="宋体" w:hAnsi="宋体"/>
          <w:b/>
          <w:sz w:val="36"/>
          <w:szCs w:val="36"/>
        </w:rPr>
      </w:pPr>
    </w:p>
    <w:p>
      <w:pPr>
        <w:spacing w:line="500" w:lineRule="exact"/>
        <w:ind w:firstLine="723" w:firstLineChars="200"/>
        <w:jc w:val="center"/>
        <w:rPr>
          <w:rFonts w:ascii="宋体" w:hAnsi="宋体"/>
          <w:b/>
          <w:sz w:val="36"/>
          <w:szCs w:val="36"/>
        </w:rPr>
      </w:pPr>
    </w:p>
    <w:p>
      <w:pPr>
        <w:spacing w:line="500" w:lineRule="exact"/>
        <w:ind w:firstLine="723" w:firstLineChars="200"/>
        <w:jc w:val="center"/>
        <w:rPr>
          <w:rFonts w:ascii="宋体" w:hAnsi="宋体"/>
          <w:b/>
          <w:sz w:val="36"/>
          <w:szCs w:val="36"/>
        </w:rPr>
      </w:pPr>
    </w:p>
    <w:p>
      <w:pPr>
        <w:spacing w:line="500" w:lineRule="exact"/>
        <w:ind w:firstLine="723" w:firstLineChars="200"/>
        <w:jc w:val="center"/>
        <w:rPr>
          <w:rFonts w:ascii="宋体" w:hAnsi="宋体"/>
          <w:b/>
          <w:sz w:val="36"/>
          <w:szCs w:val="36"/>
        </w:rPr>
      </w:pPr>
    </w:p>
    <w:p>
      <w:pPr>
        <w:spacing w:line="500" w:lineRule="exact"/>
        <w:ind w:firstLine="723" w:firstLineChars="200"/>
        <w:jc w:val="center"/>
        <w:rPr>
          <w:rFonts w:ascii="宋体" w:hAnsi="宋体"/>
          <w:b/>
          <w:sz w:val="36"/>
          <w:szCs w:val="36"/>
        </w:rPr>
      </w:pPr>
    </w:p>
    <w:p>
      <w:pPr>
        <w:spacing w:line="500" w:lineRule="exact"/>
        <w:ind w:firstLine="723" w:firstLineChars="200"/>
        <w:jc w:val="center"/>
        <w:rPr>
          <w:rFonts w:ascii="宋体" w:hAnsi="宋体"/>
          <w:b/>
          <w:sz w:val="36"/>
          <w:szCs w:val="36"/>
        </w:rPr>
      </w:pPr>
    </w:p>
    <w:p>
      <w:pPr>
        <w:pStyle w:val="38"/>
        <w:ind w:firstLine="0" w:firstLineChars="0"/>
      </w:pPr>
    </w:p>
    <w:p>
      <w:pPr>
        <w:snapToGrid w:val="0"/>
        <w:spacing w:before="50" w:after="50"/>
        <w:jc w:val="center"/>
        <w:rPr>
          <w:rFonts w:ascii="黑体" w:eastAsia="黑体"/>
          <w:color w:val="000000"/>
          <w:sz w:val="32"/>
          <w:szCs w:val="32"/>
        </w:rPr>
      </w:pPr>
      <w:r>
        <w:rPr>
          <w:rFonts w:hint="eastAsia" w:ascii="黑体" w:eastAsia="黑体"/>
          <w:color w:val="000000"/>
          <w:sz w:val="32"/>
          <w:szCs w:val="32"/>
          <w:lang w:val="en-US" w:eastAsia="zh-CN"/>
        </w:rPr>
        <w:t>六</w:t>
      </w:r>
      <w:r>
        <w:rPr>
          <w:rFonts w:hint="eastAsia" w:ascii="黑体" w:eastAsia="黑体"/>
          <w:color w:val="000000"/>
          <w:sz w:val="32"/>
          <w:szCs w:val="32"/>
        </w:rPr>
        <w:t>、技术参数响应及偏离表（如有）</w:t>
      </w:r>
    </w:p>
    <w:p>
      <w:pPr>
        <w:jc w:val="center"/>
        <w:rPr>
          <w:rFonts w:ascii="宋体" w:hAnsi="宋体"/>
          <w:color w:val="000000"/>
          <w:sz w:val="24"/>
          <w:szCs w:val="24"/>
        </w:rPr>
      </w:pPr>
    </w:p>
    <w:p>
      <w:pPr>
        <w:rPr>
          <w:rFonts w:ascii="宋体" w:hAnsi="宋体"/>
          <w:color w:val="000000"/>
          <w:sz w:val="24"/>
          <w:szCs w:val="24"/>
        </w:rPr>
      </w:pPr>
      <w:r>
        <w:rPr>
          <w:rFonts w:hint="eastAsia" w:ascii="宋体" w:hAnsi="宋体"/>
          <w:color w:val="000000"/>
          <w:sz w:val="24"/>
          <w:szCs w:val="24"/>
        </w:rPr>
        <w:t xml:space="preserve">投标人全称（加盖公章）：       </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2852"/>
        <w:gridCol w:w="2852"/>
        <w:gridCol w:w="1308"/>
        <w:gridCol w:w="11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84" w:type="dxa"/>
            <w:noWrap/>
            <w:vAlign w:val="center"/>
          </w:tcPr>
          <w:p>
            <w:pPr>
              <w:jc w:val="center"/>
              <w:rPr>
                <w:rFonts w:ascii="宋体" w:hAnsi="宋体"/>
                <w:color w:val="000000"/>
                <w:sz w:val="24"/>
                <w:szCs w:val="24"/>
              </w:rPr>
            </w:pPr>
            <w:r>
              <w:rPr>
                <w:rFonts w:hint="eastAsia" w:ascii="宋体" w:hAnsi="宋体"/>
                <w:color w:val="000000"/>
                <w:sz w:val="24"/>
                <w:szCs w:val="24"/>
              </w:rPr>
              <w:t>序号</w:t>
            </w:r>
          </w:p>
        </w:tc>
        <w:tc>
          <w:tcPr>
            <w:tcW w:w="2852" w:type="dxa"/>
            <w:noWrap/>
            <w:vAlign w:val="center"/>
          </w:tcPr>
          <w:p>
            <w:pPr>
              <w:rPr>
                <w:rFonts w:ascii="宋体" w:hAnsi="宋体"/>
                <w:color w:val="000000"/>
                <w:sz w:val="24"/>
                <w:szCs w:val="24"/>
              </w:rPr>
            </w:pPr>
            <w:r>
              <w:rPr>
                <w:rFonts w:hint="eastAsia" w:ascii="宋体" w:hAnsi="宋体"/>
                <w:color w:val="000000"/>
                <w:sz w:val="24"/>
                <w:szCs w:val="24"/>
              </w:rPr>
              <w:t>招标要求</w:t>
            </w:r>
          </w:p>
        </w:tc>
        <w:tc>
          <w:tcPr>
            <w:tcW w:w="2852" w:type="dxa"/>
            <w:noWrap/>
            <w:vAlign w:val="center"/>
          </w:tcPr>
          <w:p>
            <w:pPr>
              <w:rPr>
                <w:rFonts w:ascii="宋体" w:hAnsi="宋体"/>
                <w:color w:val="000000"/>
                <w:sz w:val="24"/>
                <w:szCs w:val="24"/>
              </w:rPr>
            </w:pPr>
            <w:r>
              <w:rPr>
                <w:rFonts w:hint="eastAsia" w:ascii="宋体" w:hAnsi="宋体"/>
                <w:color w:val="000000"/>
                <w:sz w:val="24"/>
                <w:szCs w:val="24"/>
              </w:rPr>
              <w:t>投标响应</w:t>
            </w:r>
          </w:p>
        </w:tc>
        <w:tc>
          <w:tcPr>
            <w:tcW w:w="1308" w:type="dxa"/>
            <w:noWrap/>
            <w:vAlign w:val="center"/>
          </w:tcPr>
          <w:p>
            <w:pPr>
              <w:rPr>
                <w:rFonts w:ascii="宋体" w:hAnsi="宋体"/>
                <w:color w:val="000000"/>
                <w:sz w:val="24"/>
                <w:szCs w:val="24"/>
              </w:rPr>
            </w:pPr>
            <w:r>
              <w:rPr>
                <w:rFonts w:hint="eastAsia" w:ascii="宋体" w:hAnsi="宋体"/>
                <w:color w:val="000000"/>
                <w:sz w:val="24"/>
                <w:szCs w:val="24"/>
              </w:rPr>
              <w:t>超出、符合或偏离</w:t>
            </w:r>
          </w:p>
        </w:tc>
        <w:tc>
          <w:tcPr>
            <w:tcW w:w="1173" w:type="dxa"/>
            <w:noWrap/>
            <w:vAlign w:val="center"/>
          </w:tcPr>
          <w:p>
            <w:pPr>
              <w:jc w:val="center"/>
              <w:rPr>
                <w:rFonts w:ascii="宋体" w:hAnsi="宋体"/>
                <w:color w:val="000000"/>
                <w:sz w:val="24"/>
                <w:szCs w:val="24"/>
              </w:rPr>
            </w:pPr>
            <w:r>
              <w:rPr>
                <w:rFonts w:hint="eastAsia" w:ascii="宋体" w:hAnsi="宋体"/>
                <w:color w:val="000000"/>
                <w:sz w:val="24"/>
                <w:szCs w:val="24"/>
              </w:rPr>
              <w:t>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tcPr>
          <w:p>
            <w:pPr>
              <w:jc w:val="center"/>
              <w:rPr>
                <w:rFonts w:ascii="宋体" w:hAnsi="宋体"/>
                <w:color w:val="000000"/>
                <w:sz w:val="24"/>
                <w:szCs w:val="24"/>
              </w:rPr>
            </w:pPr>
          </w:p>
        </w:tc>
        <w:tc>
          <w:tcPr>
            <w:tcW w:w="2852" w:type="dxa"/>
            <w:noWrap/>
          </w:tcPr>
          <w:p>
            <w:pPr>
              <w:jc w:val="center"/>
              <w:rPr>
                <w:rFonts w:ascii="宋体" w:hAnsi="宋体"/>
                <w:color w:val="000000"/>
                <w:sz w:val="24"/>
                <w:szCs w:val="24"/>
              </w:rPr>
            </w:pPr>
          </w:p>
        </w:tc>
        <w:tc>
          <w:tcPr>
            <w:tcW w:w="2852" w:type="dxa"/>
            <w:noWrap/>
          </w:tcPr>
          <w:p>
            <w:pPr>
              <w:jc w:val="center"/>
              <w:rPr>
                <w:rFonts w:ascii="宋体" w:hAnsi="宋体"/>
                <w:color w:val="000000"/>
                <w:sz w:val="24"/>
                <w:szCs w:val="24"/>
              </w:rPr>
            </w:pPr>
          </w:p>
        </w:tc>
        <w:tc>
          <w:tcPr>
            <w:tcW w:w="1308" w:type="dxa"/>
            <w:noWrap/>
          </w:tcPr>
          <w:p>
            <w:pPr>
              <w:jc w:val="center"/>
              <w:rPr>
                <w:rFonts w:ascii="宋体" w:hAnsi="宋体"/>
                <w:color w:val="000000"/>
                <w:sz w:val="24"/>
                <w:szCs w:val="24"/>
              </w:rPr>
            </w:pPr>
          </w:p>
        </w:tc>
        <w:tc>
          <w:tcPr>
            <w:tcW w:w="1173" w:type="dxa"/>
            <w:noWrap/>
          </w:tcPr>
          <w:p>
            <w:pPr>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tcPr>
          <w:p>
            <w:pPr>
              <w:jc w:val="center"/>
              <w:rPr>
                <w:rFonts w:ascii="宋体" w:hAnsi="宋体"/>
                <w:color w:val="000000"/>
                <w:sz w:val="24"/>
                <w:szCs w:val="24"/>
              </w:rPr>
            </w:pPr>
          </w:p>
        </w:tc>
        <w:tc>
          <w:tcPr>
            <w:tcW w:w="2852" w:type="dxa"/>
            <w:noWrap/>
          </w:tcPr>
          <w:p>
            <w:pPr>
              <w:jc w:val="center"/>
              <w:rPr>
                <w:rFonts w:ascii="宋体" w:hAnsi="宋体"/>
                <w:color w:val="000000"/>
                <w:sz w:val="24"/>
                <w:szCs w:val="24"/>
              </w:rPr>
            </w:pPr>
          </w:p>
        </w:tc>
        <w:tc>
          <w:tcPr>
            <w:tcW w:w="2852" w:type="dxa"/>
            <w:noWrap/>
          </w:tcPr>
          <w:p>
            <w:pPr>
              <w:jc w:val="center"/>
              <w:rPr>
                <w:rFonts w:ascii="宋体" w:hAnsi="宋体"/>
                <w:color w:val="000000"/>
                <w:sz w:val="24"/>
                <w:szCs w:val="24"/>
              </w:rPr>
            </w:pPr>
          </w:p>
        </w:tc>
        <w:tc>
          <w:tcPr>
            <w:tcW w:w="1308" w:type="dxa"/>
            <w:noWrap/>
          </w:tcPr>
          <w:p>
            <w:pPr>
              <w:jc w:val="center"/>
              <w:rPr>
                <w:rFonts w:ascii="宋体" w:hAnsi="宋体"/>
                <w:color w:val="000000"/>
                <w:sz w:val="24"/>
                <w:szCs w:val="24"/>
              </w:rPr>
            </w:pPr>
          </w:p>
        </w:tc>
        <w:tc>
          <w:tcPr>
            <w:tcW w:w="1173" w:type="dxa"/>
            <w:noWrap/>
          </w:tcPr>
          <w:p>
            <w:pPr>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tcPr>
          <w:p>
            <w:pPr>
              <w:jc w:val="center"/>
              <w:rPr>
                <w:rFonts w:ascii="宋体" w:hAnsi="宋体"/>
                <w:color w:val="000000"/>
                <w:sz w:val="24"/>
                <w:szCs w:val="24"/>
              </w:rPr>
            </w:pPr>
          </w:p>
        </w:tc>
        <w:tc>
          <w:tcPr>
            <w:tcW w:w="2852" w:type="dxa"/>
            <w:noWrap/>
          </w:tcPr>
          <w:p>
            <w:pPr>
              <w:jc w:val="center"/>
              <w:rPr>
                <w:rFonts w:ascii="宋体" w:hAnsi="宋体"/>
                <w:color w:val="000000"/>
                <w:sz w:val="24"/>
                <w:szCs w:val="24"/>
              </w:rPr>
            </w:pPr>
          </w:p>
        </w:tc>
        <w:tc>
          <w:tcPr>
            <w:tcW w:w="2852" w:type="dxa"/>
            <w:noWrap/>
          </w:tcPr>
          <w:p>
            <w:pPr>
              <w:jc w:val="center"/>
              <w:rPr>
                <w:rFonts w:ascii="宋体" w:hAnsi="宋体"/>
                <w:color w:val="000000"/>
                <w:sz w:val="24"/>
                <w:szCs w:val="24"/>
              </w:rPr>
            </w:pPr>
          </w:p>
        </w:tc>
        <w:tc>
          <w:tcPr>
            <w:tcW w:w="1308" w:type="dxa"/>
            <w:noWrap/>
          </w:tcPr>
          <w:p>
            <w:pPr>
              <w:jc w:val="center"/>
              <w:rPr>
                <w:rFonts w:ascii="宋体" w:hAnsi="宋体"/>
                <w:color w:val="000000"/>
                <w:sz w:val="24"/>
                <w:szCs w:val="24"/>
              </w:rPr>
            </w:pPr>
          </w:p>
        </w:tc>
        <w:tc>
          <w:tcPr>
            <w:tcW w:w="1173" w:type="dxa"/>
            <w:noWrap/>
          </w:tcPr>
          <w:p>
            <w:pPr>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tcPr>
          <w:p>
            <w:pPr>
              <w:jc w:val="center"/>
              <w:rPr>
                <w:rFonts w:ascii="宋体" w:hAnsi="宋体"/>
                <w:color w:val="000000"/>
                <w:sz w:val="24"/>
                <w:szCs w:val="24"/>
              </w:rPr>
            </w:pPr>
          </w:p>
        </w:tc>
        <w:tc>
          <w:tcPr>
            <w:tcW w:w="2852" w:type="dxa"/>
            <w:noWrap/>
          </w:tcPr>
          <w:p>
            <w:pPr>
              <w:jc w:val="center"/>
              <w:rPr>
                <w:rFonts w:ascii="宋体" w:hAnsi="宋体"/>
                <w:color w:val="000000"/>
                <w:sz w:val="24"/>
                <w:szCs w:val="24"/>
              </w:rPr>
            </w:pPr>
          </w:p>
        </w:tc>
        <w:tc>
          <w:tcPr>
            <w:tcW w:w="2852" w:type="dxa"/>
            <w:noWrap/>
          </w:tcPr>
          <w:p>
            <w:pPr>
              <w:jc w:val="center"/>
              <w:rPr>
                <w:rFonts w:ascii="宋体" w:hAnsi="宋体"/>
                <w:color w:val="000000"/>
                <w:sz w:val="24"/>
                <w:szCs w:val="24"/>
              </w:rPr>
            </w:pPr>
          </w:p>
        </w:tc>
        <w:tc>
          <w:tcPr>
            <w:tcW w:w="1308" w:type="dxa"/>
            <w:noWrap/>
          </w:tcPr>
          <w:p>
            <w:pPr>
              <w:jc w:val="center"/>
              <w:rPr>
                <w:rFonts w:ascii="宋体" w:hAnsi="宋体"/>
                <w:color w:val="000000"/>
                <w:sz w:val="24"/>
                <w:szCs w:val="24"/>
              </w:rPr>
            </w:pPr>
          </w:p>
        </w:tc>
        <w:tc>
          <w:tcPr>
            <w:tcW w:w="1173" w:type="dxa"/>
            <w:noWrap/>
          </w:tcPr>
          <w:p>
            <w:pPr>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tcPr>
          <w:p>
            <w:pPr>
              <w:jc w:val="center"/>
              <w:rPr>
                <w:rFonts w:ascii="宋体" w:hAnsi="宋体"/>
                <w:color w:val="000000"/>
                <w:sz w:val="24"/>
                <w:szCs w:val="24"/>
              </w:rPr>
            </w:pPr>
          </w:p>
        </w:tc>
        <w:tc>
          <w:tcPr>
            <w:tcW w:w="2852" w:type="dxa"/>
            <w:noWrap/>
          </w:tcPr>
          <w:p>
            <w:pPr>
              <w:jc w:val="center"/>
              <w:rPr>
                <w:rFonts w:ascii="宋体" w:hAnsi="宋体"/>
                <w:color w:val="000000"/>
                <w:sz w:val="24"/>
                <w:szCs w:val="24"/>
              </w:rPr>
            </w:pPr>
          </w:p>
        </w:tc>
        <w:tc>
          <w:tcPr>
            <w:tcW w:w="2852" w:type="dxa"/>
            <w:noWrap/>
          </w:tcPr>
          <w:p>
            <w:pPr>
              <w:jc w:val="center"/>
              <w:rPr>
                <w:rFonts w:ascii="宋体" w:hAnsi="宋体"/>
                <w:color w:val="000000"/>
                <w:sz w:val="24"/>
                <w:szCs w:val="24"/>
              </w:rPr>
            </w:pPr>
          </w:p>
        </w:tc>
        <w:tc>
          <w:tcPr>
            <w:tcW w:w="1308" w:type="dxa"/>
            <w:noWrap/>
          </w:tcPr>
          <w:p>
            <w:pPr>
              <w:jc w:val="center"/>
              <w:rPr>
                <w:rFonts w:ascii="宋体" w:hAnsi="宋体"/>
                <w:color w:val="000000"/>
                <w:sz w:val="24"/>
                <w:szCs w:val="24"/>
              </w:rPr>
            </w:pPr>
          </w:p>
        </w:tc>
        <w:tc>
          <w:tcPr>
            <w:tcW w:w="1173" w:type="dxa"/>
            <w:noWrap/>
          </w:tcPr>
          <w:p>
            <w:pPr>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tcPr>
          <w:p>
            <w:pPr>
              <w:jc w:val="center"/>
              <w:rPr>
                <w:rFonts w:ascii="宋体" w:hAnsi="宋体"/>
                <w:color w:val="000000"/>
                <w:sz w:val="24"/>
                <w:szCs w:val="24"/>
              </w:rPr>
            </w:pPr>
          </w:p>
        </w:tc>
        <w:tc>
          <w:tcPr>
            <w:tcW w:w="2852" w:type="dxa"/>
            <w:noWrap/>
          </w:tcPr>
          <w:p>
            <w:pPr>
              <w:jc w:val="center"/>
              <w:rPr>
                <w:rFonts w:ascii="宋体" w:hAnsi="宋体"/>
                <w:color w:val="000000"/>
                <w:sz w:val="24"/>
                <w:szCs w:val="24"/>
              </w:rPr>
            </w:pPr>
          </w:p>
        </w:tc>
        <w:tc>
          <w:tcPr>
            <w:tcW w:w="2852" w:type="dxa"/>
            <w:noWrap/>
          </w:tcPr>
          <w:p>
            <w:pPr>
              <w:jc w:val="center"/>
              <w:rPr>
                <w:rFonts w:ascii="宋体" w:hAnsi="宋体"/>
                <w:color w:val="000000"/>
                <w:sz w:val="24"/>
                <w:szCs w:val="24"/>
              </w:rPr>
            </w:pPr>
          </w:p>
        </w:tc>
        <w:tc>
          <w:tcPr>
            <w:tcW w:w="1308" w:type="dxa"/>
            <w:noWrap/>
          </w:tcPr>
          <w:p>
            <w:pPr>
              <w:jc w:val="center"/>
              <w:rPr>
                <w:rFonts w:ascii="宋体" w:hAnsi="宋体"/>
                <w:color w:val="000000"/>
                <w:sz w:val="24"/>
                <w:szCs w:val="24"/>
              </w:rPr>
            </w:pPr>
          </w:p>
        </w:tc>
        <w:tc>
          <w:tcPr>
            <w:tcW w:w="1173" w:type="dxa"/>
            <w:noWrap/>
          </w:tcPr>
          <w:p>
            <w:pPr>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tcPr>
          <w:p>
            <w:pPr>
              <w:jc w:val="center"/>
              <w:rPr>
                <w:rFonts w:ascii="宋体" w:hAnsi="宋体"/>
                <w:color w:val="000000"/>
                <w:sz w:val="24"/>
                <w:szCs w:val="24"/>
              </w:rPr>
            </w:pPr>
          </w:p>
        </w:tc>
        <w:tc>
          <w:tcPr>
            <w:tcW w:w="2852" w:type="dxa"/>
            <w:noWrap/>
          </w:tcPr>
          <w:p>
            <w:pPr>
              <w:jc w:val="center"/>
              <w:rPr>
                <w:rFonts w:ascii="宋体" w:hAnsi="宋体"/>
                <w:color w:val="000000"/>
                <w:sz w:val="24"/>
                <w:szCs w:val="24"/>
              </w:rPr>
            </w:pPr>
          </w:p>
        </w:tc>
        <w:tc>
          <w:tcPr>
            <w:tcW w:w="2852" w:type="dxa"/>
            <w:noWrap/>
          </w:tcPr>
          <w:p>
            <w:pPr>
              <w:jc w:val="center"/>
              <w:rPr>
                <w:rFonts w:ascii="宋体" w:hAnsi="宋体"/>
                <w:color w:val="000000"/>
                <w:sz w:val="24"/>
                <w:szCs w:val="24"/>
              </w:rPr>
            </w:pPr>
          </w:p>
        </w:tc>
        <w:tc>
          <w:tcPr>
            <w:tcW w:w="1308" w:type="dxa"/>
            <w:noWrap/>
          </w:tcPr>
          <w:p>
            <w:pPr>
              <w:jc w:val="center"/>
              <w:rPr>
                <w:rFonts w:ascii="宋体" w:hAnsi="宋体"/>
                <w:color w:val="000000"/>
                <w:sz w:val="24"/>
                <w:szCs w:val="24"/>
              </w:rPr>
            </w:pPr>
          </w:p>
        </w:tc>
        <w:tc>
          <w:tcPr>
            <w:tcW w:w="1173" w:type="dxa"/>
            <w:noWrap/>
          </w:tcPr>
          <w:p>
            <w:pPr>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tcPr>
          <w:p>
            <w:pPr>
              <w:jc w:val="center"/>
              <w:rPr>
                <w:rFonts w:ascii="宋体" w:hAnsi="宋体"/>
                <w:color w:val="000000"/>
                <w:sz w:val="24"/>
                <w:szCs w:val="24"/>
              </w:rPr>
            </w:pPr>
          </w:p>
        </w:tc>
        <w:tc>
          <w:tcPr>
            <w:tcW w:w="2852" w:type="dxa"/>
            <w:noWrap/>
          </w:tcPr>
          <w:p>
            <w:pPr>
              <w:jc w:val="center"/>
              <w:rPr>
                <w:rFonts w:ascii="宋体" w:hAnsi="宋体"/>
                <w:color w:val="000000"/>
                <w:sz w:val="24"/>
                <w:szCs w:val="24"/>
              </w:rPr>
            </w:pPr>
          </w:p>
        </w:tc>
        <w:tc>
          <w:tcPr>
            <w:tcW w:w="2852" w:type="dxa"/>
            <w:noWrap/>
          </w:tcPr>
          <w:p>
            <w:pPr>
              <w:jc w:val="center"/>
              <w:rPr>
                <w:rFonts w:ascii="宋体" w:hAnsi="宋体"/>
                <w:color w:val="000000"/>
                <w:sz w:val="24"/>
                <w:szCs w:val="24"/>
              </w:rPr>
            </w:pPr>
          </w:p>
        </w:tc>
        <w:tc>
          <w:tcPr>
            <w:tcW w:w="1308" w:type="dxa"/>
            <w:noWrap/>
          </w:tcPr>
          <w:p>
            <w:pPr>
              <w:jc w:val="center"/>
              <w:rPr>
                <w:rFonts w:ascii="宋体" w:hAnsi="宋体"/>
                <w:color w:val="000000"/>
                <w:sz w:val="24"/>
                <w:szCs w:val="24"/>
              </w:rPr>
            </w:pPr>
          </w:p>
        </w:tc>
        <w:tc>
          <w:tcPr>
            <w:tcW w:w="1173" w:type="dxa"/>
            <w:noWrap/>
          </w:tcPr>
          <w:p>
            <w:pPr>
              <w:jc w:val="center"/>
              <w:rPr>
                <w:rFonts w:ascii="宋体" w:hAnsi="宋体"/>
                <w:color w:val="000000"/>
                <w:sz w:val="24"/>
                <w:szCs w:val="24"/>
              </w:rPr>
            </w:pPr>
          </w:p>
        </w:tc>
      </w:tr>
    </w:tbl>
    <w:p>
      <w:pPr>
        <w:rPr>
          <w:rFonts w:ascii="宋体" w:hAnsi="宋体"/>
          <w:color w:val="000000"/>
          <w:sz w:val="24"/>
          <w:szCs w:val="24"/>
        </w:rPr>
      </w:pPr>
      <w:r>
        <w:rPr>
          <w:rFonts w:hint="eastAsia" w:ascii="宋体" w:hAnsi="宋体"/>
          <w:color w:val="000000"/>
          <w:sz w:val="24"/>
          <w:szCs w:val="24"/>
        </w:rPr>
        <w:t>法定代表人或授权代表签字：</w:t>
      </w: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r>
        <w:rPr>
          <w:rFonts w:hint="eastAsia" w:ascii="宋体" w:hAnsi="宋体"/>
          <w:color w:val="000000"/>
          <w:sz w:val="24"/>
          <w:szCs w:val="24"/>
        </w:rPr>
        <w:t>注：1、按照基本技术要求详细填列。</w:t>
      </w:r>
    </w:p>
    <w:p>
      <w:pPr>
        <w:numPr>
          <w:ilvl w:val="0"/>
          <w:numId w:val="8"/>
        </w:numPr>
        <w:rPr>
          <w:rFonts w:ascii="宋体" w:hAnsi="宋体"/>
          <w:color w:val="000000"/>
          <w:sz w:val="24"/>
          <w:szCs w:val="24"/>
        </w:rPr>
      </w:pPr>
      <w:r>
        <w:rPr>
          <w:rFonts w:hint="eastAsia" w:ascii="宋体" w:hAnsi="宋体"/>
          <w:color w:val="000000"/>
          <w:sz w:val="24"/>
          <w:szCs w:val="24"/>
        </w:rPr>
        <w:t>行数不够，可自行添加。</w:t>
      </w:r>
    </w:p>
    <w:p>
      <w:pPr>
        <w:numPr>
          <w:ilvl w:val="0"/>
          <w:numId w:val="8"/>
        </w:numPr>
        <w:spacing w:line="360" w:lineRule="auto"/>
        <w:rPr>
          <w:rFonts w:ascii="宋体" w:hAnsi="宋体"/>
          <w:color w:val="000000"/>
          <w:sz w:val="24"/>
        </w:rPr>
      </w:pPr>
      <w:r>
        <w:rPr>
          <w:rFonts w:hint="eastAsia" w:ascii="宋体" w:hAnsi="宋体"/>
          <w:color w:val="000000"/>
          <w:sz w:val="24"/>
        </w:rPr>
        <w:t>技术偏离表应针对项目需求逐条应答。</w:t>
      </w:r>
    </w:p>
    <w:p>
      <w:pPr>
        <w:spacing w:line="500" w:lineRule="exact"/>
        <w:ind w:firstLine="480" w:firstLineChars="200"/>
        <w:rPr>
          <w:rFonts w:ascii="宋体"/>
          <w:color w:val="000000"/>
          <w:sz w:val="24"/>
          <w:szCs w:val="24"/>
        </w:rPr>
      </w:pPr>
      <w:r>
        <w:rPr>
          <w:rFonts w:hint="eastAsia" w:ascii="宋体" w:hAnsi="宋体"/>
          <w:color w:val="000000"/>
          <w:sz w:val="24"/>
          <w:szCs w:val="24"/>
        </w:rPr>
        <w:t>4、如无超出或偏离项目，此表无需填写。</w:t>
      </w:r>
    </w:p>
    <w:p>
      <w:pPr>
        <w:spacing w:line="360" w:lineRule="auto"/>
        <w:ind w:left="480"/>
        <w:rPr>
          <w:rFonts w:ascii="宋体" w:hAnsi="宋体"/>
          <w:bCs/>
          <w:color w:val="000000"/>
          <w:sz w:val="24"/>
        </w:rPr>
      </w:pPr>
    </w:p>
    <w:p>
      <w:pPr>
        <w:rPr>
          <w:rFonts w:ascii="黑体" w:hAnsi="Arial" w:eastAsia="黑体"/>
          <w:b/>
          <w:color w:val="000000"/>
          <w:sz w:val="36"/>
        </w:rPr>
      </w:pPr>
    </w:p>
    <w:p>
      <w:pPr>
        <w:jc w:val="center"/>
        <w:rPr>
          <w:rFonts w:ascii="黑体" w:hAnsi="Arial" w:eastAsia="黑体"/>
          <w:b/>
          <w:color w:val="000000"/>
          <w:sz w:val="36"/>
        </w:rPr>
      </w:pPr>
    </w:p>
    <w:p>
      <w:pPr>
        <w:snapToGrid w:val="0"/>
        <w:spacing w:before="50" w:after="50"/>
        <w:jc w:val="center"/>
        <w:rPr>
          <w:rFonts w:ascii="黑体" w:eastAsia="黑体"/>
          <w:color w:val="000000"/>
          <w:sz w:val="32"/>
          <w:szCs w:val="32"/>
        </w:rPr>
      </w:pPr>
      <w:bookmarkStart w:id="162" w:name="_Hlt26955054"/>
      <w:bookmarkEnd w:id="162"/>
    </w:p>
    <w:p>
      <w:pPr>
        <w:snapToGrid w:val="0"/>
        <w:spacing w:before="50" w:after="50"/>
        <w:jc w:val="center"/>
        <w:rPr>
          <w:rFonts w:ascii="黑体" w:eastAsia="黑体"/>
          <w:color w:val="000000"/>
          <w:sz w:val="32"/>
          <w:szCs w:val="32"/>
        </w:rPr>
      </w:pPr>
    </w:p>
    <w:p>
      <w:pPr>
        <w:snapToGrid w:val="0"/>
        <w:spacing w:before="50" w:after="50"/>
        <w:jc w:val="center"/>
        <w:rPr>
          <w:rFonts w:ascii="黑体" w:eastAsia="黑体"/>
          <w:color w:val="000000"/>
          <w:sz w:val="32"/>
          <w:szCs w:val="32"/>
        </w:rPr>
      </w:pPr>
    </w:p>
    <w:p>
      <w:pPr>
        <w:snapToGrid w:val="0"/>
        <w:spacing w:before="50" w:after="50"/>
        <w:jc w:val="center"/>
        <w:rPr>
          <w:rFonts w:ascii="黑体" w:eastAsia="黑体"/>
          <w:color w:val="000000"/>
          <w:sz w:val="32"/>
          <w:szCs w:val="32"/>
        </w:rPr>
      </w:pPr>
    </w:p>
    <w:p>
      <w:pPr>
        <w:snapToGrid w:val="0"/>
        <w:spacing w:before="50" w:after="50"/>
        <w:jc w:val="center"/>
        <w:rPr>
          <w:rFonts w:ascii="黑体" w:eastAsia="黑体"/>
          <w:color w:val="000000"/>
          <w:sz w:val="32"/>
          <w:szCs w:val="32"/>
        </w:rPr>
      </w:pPr>
    </w:p>
    <w:p>
      <w:pPr>
        <w:snapToGrid w:val="0"/>
        <w:spacing w:before="50" w:after="50"/>
        <w:jc w:val="center"/>
        <w:rPr>
          <w:rFonts w:ascii="黑体" w:eastAsia="黑体"/>
          <w:color w:val="000000"/>
          <w:sz w:val="32"/>
          <w:szCs w:val="32"/>
        </w:rPr>
      </w:pPr>
      <w:r>
        <w:rPr>
          <w:rFonts w:hint="eastAsia" w:ascii="黑体" w:eastAsia="黑体"/>
          <w:color w:val="000000"/>
          <w:sz w:val="32"/>
          <w:szCs w:val="32"/>
          <w:lang w:val="en-US" w:eastAsia="zh-CN"/>
        </w:rPr>
        <w:t>七</w:t>
      </w:r>
      <w:r>
        <w:rPr>
          <w:rFonts w:hint="eastAsia" w:ascii="黑体" w:eastAsia="黑体"/>
          <w:color w:val="000000"/>
          <w:sz w:val="32"/>
          <w:szCs w:val="32"/>
        </w:rPr>
        <w:t>、商务条款响应及偏离表（如有）</w:t>
      </w:r>
    </w:p>
    <w:p>
      <w:pPr>
        <w:jc w:val="center"/>
        <w:rPr>
          <w:rFonts w:ascii="宋体" w:hAnsi="宋体"/>
          <w:color w:val="000000"/>
          <w:sz w:val="24"/>
          <w:szCs w:val="24"/>
        </w:rPr>
      </w:pPr>
    </w:p>
    <w:p>
      <w:pPr>
        <w:rPr>
          <w:rFonts w:ascii="宋体" w:hAnsi="宋体"/>
          <w:color w:val="000000"/>
          <w:sz w:val="24"/>
          <w:szCs w:val="24"/>
        </w:rPr>
      </w:pPr>
      <w:r>
        <w:rPr>
          <w:rFonts w:hint="eastAsia" w:ascii="宋体" w:hAnsi="宋体"/>
          <w:color w:val="000000"/>
          <w:sz w:val="24"/>
          <w:szCs w:val="24"/>
        </w:rPr>
        <w:t xml:space="preserve">投标人全称（加盖公章）：        </w:t>
      </w:r>
    </w:p>
    <w:tbl>
      <w:tblPr>
        <w:tblStyle w:val="40"/>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48"/>
        <w:gridCol w:w="2700"/>
        <w:gridCol w:w="1260"/>
        <w:gridCol w:w="302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548"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r>
              <w:rPr>
                <w:rFonts w:hint="eastAsia" w:ascii="仿宋_GB2312" w:hAnsi="宋体"/>
                <w:color w:val="000000"/>
                <w:sz w:val="24"/>
              </w:rPr>
              <w:t>项目</w:t>
            </w:r>
          </w:p>
        </w:tc>
        <w:tc>
          <w:tcPr>
            <w:tcW w:w="2700"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r>
              <w:rPr>
                <w:rFonts w:hint="eastAsia" w:ascii="仿宋_GB2312" w:hAnsi="宋体"/>
                <w:color w:val="000000"/>
                <w:sz w:val="24"/>
              </w:rPr>
              <w:t>招标文件要求</w:t>
            </w:r>
          </w:p>
        </w:tc>
        <w:tc>
          <w:tcPr>
            <w:tcW w:w="1260"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r>
              <w:rPr>
                <w:rFonts w:hint="eastAsia" w:ascii="仿宋_GB2312" w:hAnsi="宋体"/>
                <w:color w:val="000000"/>
                <w:sz w:val="24"/>
              </w:rPr>
              <w:t>是否响应</w:t>
            </w:r>
          </w:p>
        </w:tc>
        <w:tc>
          <w:tcPr>
            <w:tcW w:w="3020"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r>
              <w:rPr>
                <w:rFonts w:hint="eastAsia" w:ascii="仿宋_GB2312" w:hAnsi="宋体"/>
                <w:color w:val="000000"/>
                <w:sz w:val="24"/>
              </w:rPr>
              <w:t>投标人的承诺或说明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548"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r>
              <w:rPr>
                <w:rFonts w:hint="eastAsia" w:ascii="仿宋_GB2312" w:hAnsi="宋体"/>
                <w:color w:val="000000"/>
                <w:sz w:val="24"/>
              </w:rPr>
              <w:t>质保期</w:t>
            </w:r>
          </w:p>
        </w:tc>
        <w:tc>
          <w:tcPr>
            <w:tcW w:w="2700"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p>
        </w:tc>
        <w:tc>
          <w:tcPr>
            <w:tcW w:w="1260"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p>
        </w:tc>
        <w:tc>
          <w:tcPr>
            <w:tcW w:w="3020"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1548"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r>
              <w:rPr>
                <w:rFonts w:hint="eastAsia" w:ascii="仿宋_GB2312"/>
                <w:color w:val="000000"/>
                <w:sz w:val="24"/>
              </w:rPr>
              <w:t>售后技术服务要求</w:t>
            </w:r>
          </w:p>
        </w:tc>
        <w:tc>
          <w:tcPr>
            <w:tcW w:w="2700"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p>
        </w:tc>
        <w:tc>
          <w:tcPr>
            <w:tcW w:w="1260"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p>
        </w:tc>
        <w:tc>
          <w:tcPr>
            <w:tcW w:w="3020"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548"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r>
              <w:rPr>
                <w:rFonts w:hint="eastAsia" w:ascii="仿宋_GB2312"/>
                <w:color w:val="000000"/>
                <w:sz w:val="24"/>
              </w:rPr>
              <w:t>交货时间</w:t>
            </w:r>
          </w:p>
        </w:tc>
        <w:tc>
          <w:tcPr>
            <w:tcW w:w="2700"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r>
              <w:rPr>
                <w:rFonts w:hint="eastAsia" w:ascii="仿宋_GB2312" w:hAnsi="宋体"/>
                <w:color w:val="000000"/>
                <w:sz w:val="24"/>
              </w:rPr>
              <w:t>合同签订后</w:t>
            </w:r>
            <w:r>
              <w:rPr>
                <w:rFonts w:ascii="仿宋_GB2312" w:hAnsi="宋体"/>
                <w:color w:val="000000"/>
                <w:sz w:val="24"/>
              </w:rPr>
              <w:t>天内</w:t>
            </w:r>
          </w:p>
        </w:tc>
        <w:tc>
          <w:tcPr>
            <w:tcW w:w="1260" w:type="dxa"/>
            <w:tcBorders>
              <w:top w:val="single" w:color="auto" w:sz="4" w:space="0"/>
              <w:left w:val="single" w:color="auto" w:sz="4" w:space="0"/>
              <w:bottom w:val="single" w:color="auto" w:sz="4" w:space="0"/>
              <w:right w:val="single" w:color="auto" w:sz="4" w:space="0"/>
            </w:tcBorders>
            <w:noWrap/>
          </w:tcPr>
          <w:p>
            <w:pPr>
              <w:snapToGrid w:val="0"/>
              <w:spacing w:beforeLines="50"/>
              <w:ind w:left="43"/>
              <w:rPr>
                <w:rFonts w:ascii="仿宋_GB2312" w:hAnsi="宋体" w:eastAsia="仿宋_GB2312"/>
                <w:color w:val="000000"/>
                <w:sz w:val="24"/>
                <w:szCs w:val="20"/>
              </w:rPr>
            </w:pPr>
          </w:p>
        </w:tc>
        <w:tc>
          <w:tcPr>
            <w:tcW w:w="3020" w:type="dxa"/>
            <w:tcBorders>
              <w:top w:val="single" w:color="auto" w:sz="4" w:space="0"/>
              <w:left w:val="single" w:color="auto" w:sz="4" w:space="0"/>
              <w:bottom w:val="single" w:color="auto" w:sz="4" w:space="0"/>
              <w:right w:val="single" w:color="auto" w:sz="4" w:space="0"/>
            </w:tcBorders>
            <w:noWrap/>
          </w:tcPr>
          <w:p>
            <w:pPr>
              <w:snapToGrid w:val="0"/>
              <w:spacing w:beforeLines="50"/>
              <w:ind w:left="43"/>
              <w:rPr>
                <w:rFonts w:ascii="仿宋_GB2312" w:hAnsi="宋体" w:eastAsia="仿宋_GB2312"/>
                <w:color w:val="000000"/>
                <w:sz w:val="24"/>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548"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color w:val="000000"/>
                <w:sz w:val="24"/>
              </w:rPr>
            </w:pPr>
            <w:r>
              <w:rPr>
                <w:rFonts w:hint="eastAsia" w:ascii="仿宋_GB2312"/>
                <w:color w:val="000000"/>
                <w:sz w:val="24"/>
              </w:rPr>
              <w:t>交货方式</w:t>
            </w:r>
          </w:p>
        </w:tc>
        <w:tc>
          <w:tcPr>
            <w:tcW w:w="2700"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color w:val="000000"/>
                <w:sz w:val="24"/>
              </w:rPr>
            </w:pPr>
          </w:p>
          <w:p>
            <w:pPr>
              <w:snapToGrid w:val="0"/>
              <w:spacing w:beforeLines="50"/>
              <w:rPr>
                <w:rFonts w:ascii="仿宋_GB2312" w:hAnsi="宋体"/>
                <w:color w:val="000000"/>
                <w:sz w:val="24"/>
              </w:rPr>
            </w:pPr>
          </w:p>
        </w:tc>
        <w:tc>
          <w:tcPr>
            <w:tcW w:w="1260" w:type="dxa"/>
            <w:tcBorders>
              <w:top w:val="single" w:color="auto" w:sz="4" w:space="0"/>
              <w:left w:val="single" w:color="auto" w:sz="4" w:space="0"/>
              <w:bottom w:val="single" w:color="auto" w:sz="4" w:space="0"/>
              <w:right w:val="single" w:color="auto" w:sz="4" w:space="0"/>
            </w:tcBorders>
            <w:noWrap/>
          </w:tcPr>
          <w:p>
            <w:pPr>
              <w:snapToGrid w:val="0"/>
              <w:spacing w:beforeLines="50"/>
              <w:ind w:left="43"/>
              <w:rPr>
                <w:rFonts w:ascii="仿宋_GB2312" w:hAnsi="宋体" w:eastAsia="仿宋_GB2312"/>
                <w:color w:val="000000"/>
                <w:sz w:val="24"/>
                <w:szCs w:val="20"/>
              </w:rPr>
            </w:pPr>
          </w:p>
        </w:tc>
        <w:tc>
          <w:tcPr>
            <w:tcW w:w="3020" w:type="dxa"/>
            <w:tcBorders>
              <w:top w:val="single" w:color="auto" w:sz="4" w:space="0"/>
              <w:left w:val="single" w:color="auto" w:sz="4" w:space="0"/>
              <w:bottom w:val="single" w:color="auto" w:sz="4" w:space="0"/>
              <w:right w:val="single" w:color="auto" w:sz="4" w:space="0"/>
            </w:tcBorders>
            <w:noWrap/>
          </w:tcPr>
          <w:p>
            <w:pPr>
              <w:snapToGrid w:val="0"/>
              <w:spacing w:beforeLines="50"/>
              <w:ind w:left="43"/>
              <w:rPr>
                <w:rFonts w:ascii="仿宋_GB2312" w:hAnsi="宋体" w:eastAsia="仿宋_GB2312"/>
                <w:color w:val="000000"/>
                <w:sz w:val="24"/>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548"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color w:val="000000"/>
                <w:sz w:val="24"/>
              </w:rPr>
            </w:pPr>
            <w:r>
              <w:rPr>
                <w:rFonts w:hint="eastAsia" w:ascii="仿宋_GB2312"/>
                <w:color w:val="000000"/>
                <w:sz w:val="24"/>
              </w:rPr>
              <w:t>交货地点</w:t>
            </w:r>
          </w:p>
        </w:tc>
        <w:tc>
          <w:tcPr>
            <w:tcW w:w="2700"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color w:val="000000"/>
                <w:sz w:val="24"/>
              </w:rPr>
            </w:pPr>
          </w:p>
          <w:p>
            <w:pPr>
              <w:snapToGrid w:val="0"/>
              <w:spacing w:beforeLines="50"/>
              <w:rPr>
                <w:rFonts w:ascii="仿宋_GB2312" w:hAnsi="宋体"/>
                <w:color w:val="000000"/>
                <w:sz w:val="24"/>
              </w:rPr>
            </w:pPr>
          </w:p>
        </w:tc>
        <w:tc>
          <w:tcPr>
            <w:tcW w:w="1260" w:type="dxa"/>
            <w:tcBorders>
              <w:top w:val="single" w:color="auto" w:sz="4" w:space="0"/>
              <w:left w:val="single" w:color="auto" w:sz="4" w:space="0"/>
              <w:bottom w:val="single" w:color="auto" w:sz="4" w:space="0"/>
              <w:right w:val="single" w:color="auto" w:sz="4" w:space="0"/>
            </w:tcBorders>
            <w:noWrap/>
          </w:tcPr>
          <w:p>
            <w:pPr>
              <w:snapToGrid w:val="0"/>
              <w:spacing w:beforeLines="50"/>
              <w:ind w:left="43"/>
              <w:rPr>
                <w:rFonts w:ascii="仿宋_GB2312" w:hAnsi="宋体" w:eastAsia="仿宋_GB2312"/>
                <w:color w:val="000000"/>
                <w:sz w:val="24"/>
                <w:szCs w:val="20"/>
              </w:rPr>
            </w:pPr>
          </w:p>
        </w:tc>
        <w:tc>
          <w:tcPr>
            <w:tcW w:w="3020" w:type="dxa"/>
            <w:tcBorders>
              <w:top w:val="single" w:color="auto" w:sz="4" w:space="0"/>
              <w:left w:val="single" w:color="auto" w:sz="4" w:space="0"/>
              <w:bottom w:val="single" w:color="auto" w:sz="4" w:space="0"/>
              <w:right w:val="single" w:color="auto" w:sz="4" w:space="0"/>
            </w:tcBorders>
            <w:noWrap/>
          </w:tcPr>
          <w:p>
            <w:pPr>
              <w:snapToGrid w:val="0"/>
              <w:spacing w:beforeLines="50"/>
              <w:ind w:left="43"/>
              <w:rPr>
                <w:rFonts w:ascii="仿宋_GB2312" w:hAnsi="宋体" w:eastAsia="仿宋_GB2312"/>
                <w:color w:val="000000"/>
                <w:sz w:val="24"/>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548"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r>
              <w:rPr>
                <w:rFonts w:hint="eastAsia" w:ascii="仿宋_GB2312" w:hAnsi="宋体"/>
                <w:color w:val="000000"/>
                <w:sz w:val="24"/>
              </w:rPr>
              <w:t>付款方式</w:t>
            </w:r>
          </w:p>
        </w:tc>
        <w:tc>
          <w:tcPr>
            <w:tcW w:w="2700"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p>
        </w:tc>
        <w:tc>
          <w:tcPr>
            <w:tcW w:w="1260"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p>
        </w:tc>
        <w:tc>
          <w:tcPr>
            <w:tcW w:w="3020"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548"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宋体" w:hAnsi="宋体"/>
                <w:color w:val="000000"/>
                <w:sz w:val="24"/>
                <w:szCs w:val="20"/>
              </w:rPr>
            </w:pPr>
            <w:r>
              <w:rPr>
                <w:rFonts w:hint="eastAsia" w:ascii="宋体" w:hAnsi="宋体"/>
                <w:color w:val="000000"/>
                <w:sz w:val="24"/>
                <w:szCs w:val="20"/>
              </w:rPr>
              <w:t>投标货币</w:t>
            </w:r>
          </w:p>
        </w:tc>
        <w:tc>
          <w:tcPr>
            <w:tcW w:w="2700"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p>
          <w:p>
            <w:pPr>
              <w:snapToGrid w:val="0"/>
              <w:spacing w:beforeLines="50"/>
              <w:rPr>
                <w:rFonts w:ascii="仿宋_GB2312" w:hAnsi="宋体" w:eastAsia="仿宋_GB2312"/>
                <w:color w:val="000000"/>
                <w:sz w:val="24"/>
                <w:szCs w:val="20"/>
              </w:rPr>
            </w:pPr>
          </w:p>
        </w:tc>
        <w:tc>
          <w:tcPr>
            <w:tcW w:w="1260"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p>
        </w:tc>
        <w:tc>
          <w:tcPr>
            <w:tcW w:w="3020"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548"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color w:val="000000"/>
                <w:sz w:val="24"/>
              </w:rPr>
            </w:pPr>
            <w:r>
              <w:rPr>
                <w:rFonts w:hint="eastAsia" w:ascii="仿宋_GB2312"/>
                <w:color w:val="000000"/>
                <w:sz w:val="24"/>
              </w:rPr>
              <w:t>备品备件及耗材等要求</w:t>
            </w:r>
          </w:p>
        </w:tc>
        <w:tc>
          <w:tcPr>
            <w:tcW w:w="2700"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p>
        </w:tc>
        <w:tc>
          <w:tcPr>
            <w:tcW w:w="1260"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p>
        </w:tc>
        <w:tc>
          <w:tcPr>
            <w:tcW w:w="3020"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48"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r>
              <w:rPr>
                <w:rFonts w:hint="eastAsia" w:ascii="仿宋_GB2312" w:hAnsi="宋体"/>
                <w:color w:val="000000"/>
                <w:sz w:val="24"/>
              </w:rPr>
              <w:t>其他</w:t>
            </w:r>
          </w:p>
        </w:tc>
        <w:tc>
          <w:tcPr>
            <w:tcW w:w="2700"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p>
        </w:tc>
        <w:tc>
          <w:tcPr>
            <w:tcW w:w="1260"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p>
        </w:tc>
        <w:tc>
          <w:tcPr>
            <w:tcW w:w="3020" w:type="dxa"/>
            <w:tcBorders>
              <w:top w:val="single" w:color="auto" w:sz="4" w:space="0"/>
              <w:left w:val="single" w:color="auto" w:sz="4" w:space="0"/>
              <w:bottom w:val="single" w:color="auto" w:sz="4" w:space="0"/>
              <w:right w:val="single" w:color="auto" w:sz="4" w:space="0"/>
            </w:tcBorders>
            <w:noWrap/>
          </w:tcPr>
          <w:p>
            <w:pPr>
              <w:snapToGrid w:val="0"/>
              <w:spacing w:beforeLines="50"/>
              <w:rPr>
                <w:rFonts w:ascii="仿宋_GB2312" w:hAnsi="宋体" w:eastAsia="仿宋_GB2312"/>
                <w:color w:val="000000"/>
                <w:sz w:val="24"/>
                <w:szCs w:val="20"/>
              </w:rPr>
            </w:pPr>
          </w:p>
        </w:tc>
      </w:tr>
    </w:tbl>
    <w:p>
      <w:pPr>
        <w:spacing w:line="500" w:lineRule="exact"/>
        <w:ind w:firstLine="480" w:firstLineChars="200"/>
        <w:jc w:val="center"/>
        <w:rPr>
          <w:rFonts w:ascii="宋体" w:hAnsi="宋体"/>
          <w:b/>
          <w:sz w:val="36"/>
          <w:szCs w:val="36"/>
        </w:rPr>
      </w:pPr>
      <w:r>
        <w:rPr>
          <w:rFonts w:hint="eastAsia" w:ascii="宋体" w:hAnsi="宋体"/>
          <w:color w:val="000000"/>
          <w:sz w:val="24"/>
          <w:szCs w:val="24"/>
        </w:rPr>
        <w:t>法定代表人或授权代表签字：</w:t>
      </w:r>
    </w:p>
    <w:p>
      <w:pPr>
        <w:spacing w:line="500" w:lineRule="exact"/>
        <w:ind w:firstLine="723" w:firstLineChars="200"/>
        <w:jc w:val="center"/>
        <w:rPr>
          <w:rFonts w:ascii="宋体" w:hAnsi="宋体"/>
          <w:b/>
          <w:sz w:val="36"/>
          <w:szCs w:val="36"/>
        </w:rPr>
      </w:pPr>
    </w:p>
    <w:p>
      <w:pPr>
        <w:spacing w:line="500" w:lineRule="exact"/>
        <w:ind w:firstLine="723" w:firstLineChars="200"/>
        <w:jc w:val="center"/>
        <w:rPr>
          <w:rFonts w:ascii="宋体" w:hAnsi="宋体"/>
          <w:b/>
          <w:sz w:val="36"/>
          <w:szCs w:val="36"/>
        </w:rPr>
      </w:pPr>
    </w:p>
    <w:p>
      <w:pPr>
        <w:spacing w:line="500" w:lineRule="exact"/>
        <w:ind w:firstLine="723" w:firstLineChars="200"/>
        <w:jc w:val="center"/>
        <w:rPr>
          <w:rFonts w:ascii="宋体" w:hAnsi="宋体"/>
          <w:b/>
          <w:sz w:val="36"/>
          <w:szCs w:val="36"/>
        </w:rPr>
      </w:pPr>
    </w:p>
    <w:p>
      <w:pPr>
        <w:spacing w:line="500" w:lineRule="exact"/>
        <w:ind w:firstLine="723" w:firstLineChars="200"/>
        <w:jc w:val="center"/>
        <w:rPr>
          <w:rFonts w:ascii="宋体" w:hAnsi="宋体"/>
          <w:b/>
          <w:sz w:val="36"/>
          <w:szCs w:val="36"/>
        </w:rPr>
      </w:pPr>
    </w:p>
    <w:p>
      <w:pPr>
        <w:spacing w:line="500" w:lineRule="exact"/>
        <w:ind w:firstLine="723" w:firstLineChars="200"/>
        <w:jc w:val="center"/>
        <w:rPr>
          <w:rFonts w:ascii="宋体" w:hAnsi="宋体"/>
          <w:b/>
          <w:sz w:val="36"/>
          <w:szCs w:val="36"/>
        </w:rPr>
      </w:pPr>
    </w:p>
    <w:p>
      <w:pPr>
        <w:spacing w:line="500" w:lineRule="exact"/>
        <w:ind w:firstLine="723" w:firstLineChars="200"/>
        <w:jc w:val="center"/>
        <w:rPr>
          <w:rFonts w:ascii="宋体" w:hAnsi="宋体"/>
          <w:b/>
          <w:sz w:val="36"/>
          <w:szCs w:val="36"/>
        </w:rPr>
      </w:pPr>
    </w:p>
    <w:p>
      <w:pPr>
        <w:spacing w:line="500" w:lineRule="exact"/>
        <w:ind w:firstLine="723" w:firstLineChars="200"/>
        <w:jc w:val="center"/>
        <w:rPr>
          <w:rFonts w:ascii="宋体" w:hAnsi="宋体"/>
          <w:b/>
          <w:sz w:val="36"/>
          <w:szCs w:val="36"/>
        </w:rPr>
      </w:pPr>
    </w:p>
    <w:p>
      <w:pPr>
        <w:spacing w:line="500" w:lineRule="exact"/>
        <w:ind w:firstLine="723" w:firstLineChars="200"/>
        <w:jc w:val="center"/>
        <w:rPr>
          <w:rFonts w:ascii="宋体" w:hAnsi="宋体"/>
          <w:b/>
          <w:sz w:val="36"/>
          <w:szCs w:val="36"/>
        </w:rPr>
      </w:pPr>
    </w:p>
    <w:p>
      <w:pPr>
        <w:spacing w:line="500" w:lineRule="exact"/>
        <w:ind w:firstLine="723" w:firstLineChars="200"/>
        <w:jc w:val="center"/>
        <w:rPr>
          <w:rFonts w:ascii="宋体" w:hAnsi="宋体"/>
          <w:b/>
          <w:sz w:val="36"/>
          <w:szCs w:val="36"/>
        </w:rPr>
      </w:pPr>
    </w:p>
    <w:p>
      <w:pPr>
        <w:spacing w:line="500" w:lineRule="exact"/>
        <w:ind w:firstLine="723" w:firstLineChars="200"/>
        <w:jc w:val="center"/>
        <w:rPr>
          <w:rFonts w:ascii="宋体" w:hAnsi="宋体"/>
          <w:b/>
          <w:sz w:val="36"/>
          <w:szCs w:val="36"/>
        </w:rPr>
      </w:pPr>
      <w:r>
        <w:rPr>
          <w:rFonts w:hint="eastAsia" w:ascii="宋体" w:hAnsi="宋体"/>
          <w:b/>
          <w:sz w:val="36"/>
          <w:szCs w:val="36"/>
          <w:lang w:val="en-US" w:eastAsia="zh-CN"/>
        </w:rPr>
        <w:t>八</w:t>
      </w:r>
      <w:r>
        <w:rPr>
          <w:rFonts w:hint="eastAsia" w:ascii="宋体" w:hAnsi="宋体"/>
          <w:b/>
          <w:sz w:val="36"/>
          <w:szCs w:val="36"/>
        </w:rPr>
        <w:t>、</w:t>
      </w:r>
      <w:r>
        <w:rPr>
          <w:rFonts w:hint="eastAsia" w:ascii="宋体" w:hAnsi="宋体"/>
          <w:b/>
          <w:color w:val="000000"/>
          <w:sz w:val="36"/>
          <w:szCs w:val="36"/>
        </w:rPr>
        <w:t>拟投入本项目人员一览表</w:t>
      </w:r>
    </w:p>
    <w:p>
      <w:pPr>
        <w:autoSpaceDE w:val="0"/>
        <w:autoSpaceDN w:val="0"/>
        <w:adjustRightInd w:val="0"/>
        <w:spacing w:line="500" w:lineRule="exact"/>
        <w:ind w:firstLine="480" w:firstLineChars="200"/>
        <w:jc w:val="center"/>
        <w:rPr>
          <w:rFonts w:ascii="新宋体" w:hAnsi="新宋体" w:eastAsia="新宋体"/>
          <w:bCs/>
        </w:rPr>
      </w:pPr>
      <w:r>
        <w:rPr>
          <w:rFonts w:hint="eastAsia" w:ascii="宋体" w:hAnsi="宋体"/>
          <w:color w:val="000000"/>
          <w:sz w:val="24"/>
          <w:szCs w:val="24"/>
        </w:rPr>
        <w:t>（投标人格式自拟）</w:t>
      </w:r>
    </w:p>
    <w:p>
      <w:pPr>
        <w:autoSpaceDE w:val="0"/>
        <w:autoSpaceDN w:val="0"/>
        <w:adjustRightInd w:val="0"/>
        <w:spacing w:line="500" w:lineRule="exact"/>
        <w:ind w:firstLine="420" w:firstLineChars="200"/>
        <w:jc w:val="left"/>
        <w:rPr>
          <w:rFonts w:ascii="新宋体" w:hAnsi="新宋体"/>
          <w:bCs/>
          <w:color w:val="FF0000"/>
        </w:rPr>
      </w:pPr>
    </w:p>
    <w:p>
      <w:pPr>
        <w:autoSpaceDE w:val="0"/>
        <w:autoSpaceDN w:val="0"/>
        <w:adjustRightInd w:val="0"/>
        <w:spacing w:line="500" w:lineRule="exact"/>
        <w:rPr>
          <w:rFonts w:ascii="新宋体" w:hAnsi="新宋体" w:eastAsia="新宋体"/>
          <w:bCs/>
        </w:rPr>
      </w:pPr>
    </w:p>
    <w:p>
      <w:pPr>
        <w:autoSpaceDE w:val="0"/>
        <w:autoSpaceDN w:val="0"/>
        <w:adjustRightInd w:val="0"/>
        <w:spacing w:line="500" w:lineRule="exact"/>
        <w:ind w:firstLine="420" w:firstLineChars="200"/>
        <w:rPr>
          <w:rFonts w:ascii="新宋体" w:hAnsi="新宋体" w:eastAsia="新宋体"/>
          <w:bCs/>
        </w:rPr>
      </w:pPr>
    </w:p>
    <w:p>
      <w:pPr>
        <w:autoSpaceDE w:val="0"/>
        <w:autoSpaceDN w:val="0"/>
        <w:adjustRightInd w:val="0"/>
        <w:spacing w:line="500" w:lineRule="exact"/>
        <w:ind w:firstLine="420" w:firstLineChars="200"/>
        <w:rPr>
          <w:rFonts w:ascii="新宋体" w:hAnsi="新宋体" w:eastAsia="新宋体"/>
          <w:bCs/>
        </w:rPr>
      </w:pPr>
    </w:p>
    <w:p>
      <w:pPr>
        <w:autoSpaceDE w:val="0"/>
        <w:autoSpaceDN w:val="0"/>
        <w:adjustRightInd w:val="0"/>
        <w:spacing w:line="500" w:lineRule="exact"/>
        <w:ind w:firstLine="420" w:firstLineChars="200"/>
        <w:rPr>
          <w:rFonts w:ascii="新宋体" w:hAnsi="新宋体" w:eastAsia="新宋体"/>
          <w:bCs/>
        </w:rPr>
      </w:pPr>
    </w:p>
    <w:p>
      <w:pPr>
        <w:autoSpaceDE w:val="0"/>
        <w:autoSpaceDN w:val="0"/>
        <w:adjustRightInd w:val="0"/>
        <w:spacing w:line="500" w:lineRule="exact"/>
        <w:ind w:firstLine="420" w:firstLineChars="200"/>
        <w:rPr>
          <w:rFonts w:ascii="新宋体" w:hAnsi="新宋体" w:eastAsia="新宋体"/>
          <w:bCs/>
        </w:rPr>
      </w:pPr>
    </w:p>
    <w:p>
      <w:pPr>
        <w:autoSpaceDE w:val="0"/>
        <w:autoSpaceDN w:val="0"/>
        <w:adjustRightInd w:val="0"/>
        <w:spacing w:line="500" w:lineRule="exact"/>
        <w:ind w:firstLine="420" w:firstLineChars="200"/>
        <w:rPr>
          <w:rFonts w:ascii="新宋体" w:hAnsi="新宋体" w:eastAsia="新宋体"/>
          <w:bCs/>
        </w:rPr>
      </w:pPr>
    </w:p>
    <w:p>
      <w:pPr>
        <w:autoSpaceDE w:val="0"/>
        <w:autoSpaceDN w:val="0"/>
        <w:adjustRightInd w:val="0"/>
        <w:spacing w:line="500" w:lineRule="exact"/>
        <w:ind w:firstLine="420" w:firstLineChars="200"/>
        <w:rPr>
          <w:rFonts w:ascii="新宋体" w:hAnsi="新宋体" w:eastAsia="新宋体"/>
          <w:bCs/>
        </w:rPr>
      </w:pPr>
    </w:p>
    <w:p>
      <w:pPr>
        <w:autoSpaceDE w:val="0"/>
        <w:autoSpaceDN w:val="0"/>
        <w:adjustRightInd w:val="0"/>
        <w:spacing w:line="500" w:lineRule="exact"/>
        <w:ind w:firstLine="420" w:firstLineChars="200"/>
        <w:rPr>
          <w:rFonts w:ascii="新宋体" w:hAnsi="新宋体" w:eastAsia="新宋体"/>
          <w:bCs/>
        </w:rPr>
      </w:pPr>
    </w:p>
    <w:p>
      <w:pPr>
        <w:autoSpaceDE w:val="0"/>
        <w:autoSpaceDN w:val="0"/>
        <w:adjustRightInd w:val="0"/>
        <w:spacing w:line="500" w:lineRule="exact"/>
        <w:ind w:firstLine="420" w:firstLineChars="200"/>
        <w:rPr>
          <w:rFonts w:ascii="新宋体" w:hAnsi="新宋体" w:eastAsia="新宋体"/>
          <w:bCs/>
        </w:rPr>
      </w:pPr>
    </w:p>
    <w:p>
      <w:pPr>
        <w:autoSpaceDE w:val="0"/>
        <w:autoSpaceDN w:val="0"/>
        <w:adjustRightInd w:val="0"/>
        <w:spacing w:line="500" w:lineRule="exact"/>
        <w:ind w:firstLine="420" w:firstLineChars="200"/>
        <w:rPr>
          <w:rFonts w:ascii="新宋体" w:hAnsi="新宋体" w:eastAsia="新宋体"/>
          <w:bCs/>
        </w:rPr>
      </w:pPr>
    </w:p>
    <w:p>
      <w:pPr>
        <w:autoSpaceDE w:val="0"/>
        <w:autoSpaceDN w:val="0"/>
        <w:adjustRightInd w:val="0"/>
        <w:spacing w:line="500" w:lineRule="exact"/>
        <w:ind w:firstLine="420" w:firstLineChars="200"/>
        <w:rPr>
          <w:rFonts w:ascii="新宋体" w:hAnsi="新宋体" w:eastAsia="新宋体"/>
          <w:bCs/>
        </w:rPr>
      </w:pPr>
    </w:p>
    <w:p>
      <w:pPr>
        <w:autoSpaceDE w:val="0"/>
        <w:autoSpaceDN w:val="0"/>
        <w:adjustRightInd w:val="0"/>
        <w:spacing w:line="500" w:lineRule="exact"/>
        <w:ind w:firstLine="420" w:firstLineChars="200"/>
        <w:rPr>
          <w:rFonts w:ascii="新宋体" w:hAnsi="新宋体" w:eastAsia="新宋体"/>
          <w:bCs/>
        </w:rPr>
      </w:pPr>
    </w:p>
    <w:p>
      <w:pPr>
        <w:autoSpaceDE w:val="0"/>
        <w:autoSpaceDN w:val="0"/>
        <w:adjustRightInd w:val="0"/>
        <w:spacing w:line="500" w:lineRule="exact"/>
        <w:ind w:firstLine="420" w:firstLineChars="200"/>
        <w:rPr>
          <w:rFonts w:ascii="新宋体" w:hAnsi="新宋体" w:eastAsia="新宋体"/>
          <w:bCs/>
        </w:rPr>
      </w:pPr>
    </w:p>
    <w:p>
      <w:pPr>
        <w:autoSpaceDE w:val="0"/>
        <w:autoSpaceDN w:val="0"/>
        <w:adjustRightInd w:val="0"/>
        <w:spacing w:line="500" w:lineRule="exact"/>
        <w:ind w:firstLine="420" w:firstLineChars="200"/>
        <w:rPr>
          <w:rFonts w:ascii="新宋体" w:hAnsi="新宋体" w:eastAsia="新宋体"/>
          <w:bCs/>
        </w:rPr>
      </w:pPr>
    </w:p>
    <w:p>
      <w:pPr>
        <w:autoSpaceDE w:val="0"/>
        <w:autoSpaceDN w:val="0"/>
        <w:adjustRightInd w:val="0"/>
        <w:spacing w:line="500" w:lineRule="exact"/>
        <w:ind w:firstLine="420" w:firstLineChars="200"/>
        <w:rPr>
          <w:rFonts w:ascii="新宋体" w:hAnsi="新宋体" w:eastAsia="新宋体"/>
          <w:bCs/>
        </w:rPr>
      </w:pPr>
    </w:p>
    <w:p>
      <w:pPr>
        <w:autoSpaceDE w:val="0"/>
        <w:autoSpaceDN w:val="0"/>
        <w:adjustRightInd w:val="0"/>
        <w:spacing w:line="500" w:lineRule="exact"/>
        <w:ind w:firstLine="420" w:firstLineChars="200"/>
        <w:rPr>
          <w:rFonts w:ascii="新宋体" w:hAnsi="新宋体" w:eastAsia="新宋体"/>
          <w:bCs/>
        </w:rPr>
      </w:pPr>
    </w:p>
    <w:p>
      <w:pPr>
        <w:pStyle w:val="2"/>
        <w:rPr>
          <w:rFonts w:ascii="新宋体" w:hAnsi="新宋体" w:eastAsia="新宋体"/>
          <w:bCs/>
        </w:rPr>
      </w:pPr>
    </w:p>
    <w:p>
      <w:pPr>
        <w:pStyle w:val="49"/>
        <w:rPr>
          <w:rFonts w:ascii="新宋体" w:hAnsi="新宋体" w:eastAsia="新宋体"/>
          <w:bCs/>
          <w:color w:val="auto"/>
        </w:rPr>
      </w:pPr>
    </w:p>
    <w:p>
      <w:pPr>
        <w:pStyle w:val="49"/>
        <w:rPr>
          <w:rFonts w:ascii="新宋体" w:hAnsi="新宋体" w:eastAsia="新宋体"/>
          <w:bCs/>
          <w:color w:val="auto"/>
        </w:rPr>
      </w:pPr>
    </w:p>
    <w:p>
      <w:pPr>
        <w:pStyle w:val="49"/>
        <w:rPr>
          <w:rFonts w:ascii="新宋体" w:hAnsi="新宋体" w:eastAsia="新宋体"/>
          <w:bCs/>
          <w:color w:val="auto"/>
        </w:rPr>
      </w:pPr>
    </w:p>
    <w:p>
      <w:pPr>
        <w:pStyle w:val="49"/>
        <w:rPr>
          <w:rFonts w:ascii="新宋体" w:hAnsi="新宋体" w:eastAsia="新宋体"/>
          <w:bCs/>
          <w:color w:val="auto"/>
        </w:rPr>
      </w:pPr>
    </w:p>
    <w:p>
      <w:pPr>
        <w:pStyle w:val="49"/>
        <w:rPr>
          <w:rFonts w:ascii="新宋体" w:hAnsi="新宋体" w:eastAsia="新宋体"/>
          <w:bCs/>
          <w:color w:val="auto"/>
        </w:rPr>
      </w:pPr>
    </w:p>
    <w:p>
      <w:pPr>
        <w:pStyle w:val="49"/>
        <w:rPr>
          <w:rFonts w:ascii="新宋体" w:hAnsi="新宋体" w:eastAsia="新宋体"/>
          <w:bCs/>
          <w:color w:val="auto"/>
        </w:rPr>
      </w:pPr>
    </w:p>
    <w:p>
      <w:pPr>
        <w:pStyle w:val="49"/>
        <w:rPr>
          <w:rFonts w:ascii="新宋体" w:hAnsi="新宋体" w:eastAsia="新宋体"/>
          <w:bCs/>
          <w:color w:val="auto"/>
        </w:rPr>
      </w:pPr>
    </w:p>
    <w:p>
      <w:pPr>
        <w:pStyle w:val="49"/>
        <w:rPr>
          <w:rFonts w:ascii="新宋体" w:hAnsi="新宋体" w:eastAsia="新宋体"/>
          <w:bCs/>
          <w:color w:val="auto"/>
        </w:rPr>
      </w:pPr>
    </w:p>
    <w:p>
      <w:pPr>
        <w:pStyle w:val="49"/>
        <w:rPr>
          <w:rFonts w:ascii="新宋体" w:hAnsi="新宋体" w:eastAsia="新宋体"/>
          <w:bCs/>
          <w:color w:val="auto"/>
        </w:rPr>
      </w:pPr>
    </w:p>
    <w:p>
      <w:pPr>
        <w:pStyle w:val="49"/>
        <w:rPr>
          <w:rFonts w:ascii="新宋体" w:hAnsi="新宋体" w:eastAsia="新宋体"/>
          <w:bCs/>
          <w:color w:val="auto"/>
        </w:rPr>
      </w:pPr>
    </w:p>
    <w:bookmarkEnd w:id="152"/>
    <w:bookmarkEnd w:id="153"/>
    <w:bookmarkEnd w:id="161"/>
    <w:p>
      <w:pPr>
        <w:spacing w:line="360" w:lineRule="auto"/>
        <w:rPr>
          <w:rFonts w:ascii="宋体" w:hAnsi="宋体"/>
          <w:b/>
          <w:sz w:val="24"/>
          <w:szCs w:val="24"/>
        </w:rPr>
      </w:pPr>
    </w:p>
    <w:p>
      <w:pPr>
        <w:spacing w:line="500" w:lineRule="exact"/>
        <w:jc w:val="center"/>
        <w:rPr>
          <w:rFonts w:ascii="宋体" w:hAnsi="宋体"/>
          <w:b/>
          <w:color w:val="000000"/>
          <w:sz w:val="36"/>
          <w:szCs w:val="36"/>
        </w:rPr>
      </w:pPr>
      <w:r>
        <w:rPr>
          <w:rFonts w:hint="eastAsia" w:ascii="宋体" w:hAnsi="宋体"/>
          <w:b/>
          <w:color w:val="000000"/>
          <w:sz w:val="36"/>
          <w:szCs w:val="36"/>
          <w:lang w:val="en-US" w:eastAsia="zh-CN"/>
        </w:rPr>
        <w:t>九</w:t>
      </w:r>
      <w:r>
        <w:rPr>
          <w:rFonts w:hint="eastAsia" w:ascii="宋体" w:hAnsi="宋体"/>
          <w:b/>
          <w:color w:val="000000"/>
          <w:sz w:val="36"/>
          <w:szCs w:val="36"/>
        </w:rPr>
        <w:t>、项目实施方案</w:t>
      </w:r>
    </w:p>
    <w:p>
      <w:pPr>
        <w:widowControl/>
        <w:spacing w:line="500" w:lineRule="exact"/>
        <w:jc w:val="center"/>
        <w:rPr>
          <w:rFonts w:ascii="宋体" w:hAnsi="宋体"/>
          <w:b/>
          <w:sz w:val="36"/>
          <w:szCs w:val="36"/>
        </w:rPr>
      </w:pPr>
      <w:r>
        <w:rPr>
          <w:rFonts w:hint="eastAsia" w:ascii="新宋体" w:hAnsi="新宋体" w:eastAsia="新宋体"/>
          <w:bCs/>
          <w:color w:val="FF0000"/>
        </w:rPr>
        <w:t>(按评标办法的内容进行编制)</w:t>
      </w:r>
    </w:p>
    <w:p>
      <w:pPr>
        <w:widowControl/>
        <w:spacing w:line="500" w:lineRule="exact"/>
        <w:ind w:firstLine="2891" w:firstLineChars="800"/>
        <w:rPr>
          <w:rFonts w:ascii="宋体" w:hAnsi="宋体"/>
          <w:b/>
          <w:sz w:val="36"/>
          <w:szCs w:val="36"/>
        </w:rPr>
      </w:pPr>
    </w:p>
    <w:p>
      <w:pPr>
        <w:widowControl/>
        <w:spacing w:line="500" w:lineRule="exact"/>
        <w:ind w:firstLine="2891" w:firstLineChars="800"/>
        <w:rPr>
          <w:rFonts w:ascii="宋体" w:hAnsi="宋体"/>
          <w:b/>
          <w:sz w:val="36"/>
          <w:szCs w:val="36"/>
        </w:rPr>
      </w:pPr>
    </w:p>
    <w:p>
      <w:pPr>
        <w:widowControl/>
        <w:spacing w:line="500" w:lineRule="exact"/>
        <w:ind w:firstLine="2891" w:firstLineChars="800"/>
        <w:rPr>
          <w:rFonts w:ascii="宋体" w:hAnsi="宋体"/>
          <w:b/>
          <w:sz w:val="36"/>
          <w:szCs w:val="36"/>
        </w:rPr>
      </w:pPr>
    </w:p>
    <w:p>
      <w:pPr>
        <w:widowControl/>
        <w:spacing w:line="500" w:lineRule="exact"/>
        <w:ind w:firstLine="2891" w:firstLineChars="800"/>
        <w:rPr>
          <w:rFonts w:ascii="宋体" w:hAnsi="宋体"/>
          <w:b/>
          <w:sz w:val="36"/>
          <w:szCs w:val="36"/>
        </w:rPr>
      </w:pPr>
    </w:p>
    <w:p>
      <w:pPr>
        <w:widowControl/>
        <w:spacing w:line="500" w:lineRule="exact"/>
        <w:ind w:firstLine="2891" w:firstLineChars="800"/>
        <w:rPr>
          <w:rFonts w:ascii="宋体" w:hAnsi="宋体"/>
          <w:b/>
          <w:sz w:val="36"/>
          <w:szCs w:val="36"/>
        </w:rPr>
      </w:pPr>
    </w:p>
    <w:p>
      <w:pPr>
        <w:widowControl/>
        <w:spacing w:line="500" w:lineRule="exact"/>
        <w:ind w:firstLine="2891" w:firstLineChars="800"/>
        <w:rPr>
          <w:rFonts w:ascii="宋体" w:hAnsi="宋体"/>
          <w:b/>
          <w:sz w:val="36"/>
          <w:szCs w:val="36"/>
        </w:rPr>
      </w:pPr>
    </w:p>
    <w:p>
      <w:pPr>
        <w:widowControl/>
        <w:spacing w:line="500" w:lineRule="exact"/>
        <w:ind w:firstLine="2891" w:firstLineChars="800"/>
        <w:rPr>
          <w:rFonts w:ascii="宋体" w:hAnsi="宋体"/>
          <w:b/>
          <w:sz w:val="36"/>
          <w:szCs w:val="36"/>
        </w:rPr>
      </w:pPr>
    </w:p>
    <w:p>
      <w:pPr>
        <w:widowControl/>
        <w:spacing w:line="500" w:lineRule="exact"/>
        <w:ind w:firstLine="2891" w:firstLineChars="800"/>
        <w:rPr>
          <w:rFonts w:ascii="宋体" w:hAnsi="宋体"/>
          <w:b/>
          <w:sz w:val="36"/>
          <w:szCs w:val="36"/>
        </w:rPr>
      </w:pPr>
    </w:p>
    <w:p>
      <w:pPr>
        <w:widowControl/>
        <w:spacing w:line="500" w:lineRule="exact"/>
        <w:ind w:firstLine="2891" w:firstLineChars="800"/>
        <w:rPr>
          <w:rFonts w:ascii="宋体" w:hAnsi="宋体"/>
          <w:b/>
          <w:sz w:val="36"/>
          <w:szCs w:val="36"/>
        </w:rPr>
      </w:pPr>
    </w:p>
    <w:p>
      <w:pPr>
        <w:widowControl/>
        <w:spacing w:line="500" w:lineRule="exact"/>
        <w:ind w:firstLine="2891" w:firstLineChars="800"/>
        <w:rPr>
          <w:rFonts w:ascii="宋体" w:hAnsi="宋体"/>
          <w:b/>
          <w:sz w:val="36"/>
          <w:szCs w:val="36"/>
        </w:rPr>
      </w:pPr>
    </w:p>
    <w:p>
      <w:pPr>
        <w:widowControl/>
        <w:spacing w:line="500" w:lineRule="exact"/>
        <w:ind w:firstLine="2891" w:firstLineChars="800"/>
        <w:rPr>
          <w:rFonts w:ascii="宋体" w:hAnsi="宋体"/>
          <w:b/>
          <w:sz w:val="36"/>
          <w:szCs w:val="36"/>
        </w:rPr>
      </w:pPr>
    </w:p>
    <w:p>
      <w:pPr>
        <w:widowControl/>
        <w:spacing w:line="500" w:lineRule="exact"/>
        <w:ind w:firstLine="2891" w:firstLineChars="800"/>
        <w:rPr>
          <w:rFonts w:ascii="宋体" w:hAnsi="宋体"/>
          <w:b/>
          <w:sz w:val="36"/>
          <w:szCs w:val="36"/>
        </w:rPr>
      </w:pPr>
    </w:p>
    <w:p>
      <w:pPr>
        <w:widowControl/>
        <w:spacing w:line="500" w:lineRule="exact"/>
        <w:ind w:firstLine="2891" w:firstLineChars="800"/>
        <w:rPr>
          <w:rFonts w:ascii="宋体" w:hAnsi="宋体"/>
          <w:b/>
          <w:sz w:val="36"/>
          <w:szCs w:val="36"/>
        </w:rPr>
      </w:pPr>
    </w:p>
    <w:p>
      <w:pPr>
        <w:widowControl/>
        <w:spacing w:line="500" w:lineRule="exact"/>
        <w:ind w:firstLine="2891" w:firstLineChars="800"/>
        <w:rPr>
          <w:rFonts w:ascii="宋体" w:hAnsi="宋体"/>
          <w:b/>
          <w:sz w:val="36"/>
          <w:szCs w:val="36"/>
        </w:rPr>
      </w:pPr>
    </w:p>
    <w:p>
      <w:pPr>
        <w:widowControl/>
        <w:spacing w:line="500" w:lineRule="exact"/>
        <w:ind w:firstLine="2891" w:firstLineChars="800"/>
        <w:rPr>
          <w:rFonts w:ascii="宋体" w:hAnsi="宋体"/>
          <w:b/>
          <w:sz w:val="36"/>
          <w:szCs w:val="36"/>
        </w:rPr>
      </w:pPr>
    </w:p>
    <w:p>
      <w:pPr>
        <w:widowControl/>
        <w:spacing w:line="500" w:lineRule="exact"/>
        <w:ind w:firstLine="2891" w:firstLineChars="800"/>
        <w:rPr>
          <w:rFonts w:ascii="宋体" w:hAnsi="宋体"/>
          <w:b/>
          <w:sz w:val="36"/>
          <w:szCs w:val="36"/>
        </w:rPr>
      </w:pPr>
    </w:p>
    <w:p>
      <w:pPr>
        <w:widowControl/>
        <w:spacing w:line="500" w:lineRule="exact"/>
        <w:ind w:firstLine="2891" w:firstLineChars="800"/>
        <w:rPr>
          <w:rFonts w:ascii="宋体" w:hAnsi="宋体"/>
          <w:b/>
          <w:sz w:val="36"/>
          <w:szCs w:val="36"/>
        </w:rPr>
      </w:pPr>
    </w:p>
    <w:p>
      <w:pPr>
        <w:widowControl/>
        <w:spacing w:line="500" w:lineRule="exact"/>
        <w:ind w:firstLine="2891" w:firstLineChars="800"/>
        <w:rPr>
          <w:rFonts w:ascii="宋体" w:hAnsi="宋体"/>
          <w:b/>
          <w:sz w:val="36"/>
          <w:szCs w:val="36"/>
        </w:rPr>
      </w:pPr>
    </w:p>
    <w:p>
      <w:pPr>
        <w:widowControl/>
        <w:spacing w:line="500" w:lineRule="exact"/>
        <w:ind w:firstLine="2891" w:firstLineChars="800"/>
        <w:rPr>
          <w:rFonts w:ascii="宋体" w:hAnsi="宋体"/>
          <w:b/>
          <w:sz w:val="36"/>
          <w:szCs w:val="36"/>
        </w:rPr>
      </w:pPr>
    </w:p>
    <w:p>
      <w:pPr>
        <w:widowControl/>
        <w:spacing w:line="500" w:lineRule="exact"/>
        <w:ind w:firstLine="2891" w:firstLineChars="800"/>
        <w:rPr>
          <w:rFonts w:ascii="宋体" w:hAnsi="宋体"/>
          <w:b/>
          <w:sz w:val="36"/>
          <w:szCs w:val="36"/>
        </w:rPr>
      </w:pPr>
    </w:p>
    <w:p>
      <w:pPr>
        <w:widowControl/>
        <w:spacing w:line="500" w:lineRule="exact"/>
        <w:ind w:firstLine="2891" w:firstLineChars="800"/>
        <w:rPr>
          <w:rFonts w:ascii="宋体" w:hAnsi="宋体"/>
          <w:b/>
          <w:sz w:val="36"/>
          <w:szCs w:val="36"/>
        </w:rPr>
      </w:pPr>
    </w:p>
    <w:p>
      <w:pPr>
        <w:widowControl/>
        <w:spacing w:line="500" w:lineRule="exact"/>
        <w:ind w:firstLine="2891" w:firstLineChars="800"/>
        <w:rPr>
          <w:rFonts w:ascii="宋体" w:hAnsi="宋体"/>
          <w:b/>
          <w:sz w:val="36"/>
          <w:szCs w:val="36"/>
        </w:rPr>
      </w:pPr>
    </w:p>
    <w:p>
      <w:pPr>
        <w:widowControl/>
        <w:spacing w:line="500" w:lineRule="exact"/>
        <w:ind w:firstLine="2891" w:firstLineChars="800"/>
        <w:rPr>
          <w:rFonts w:ascii="宋体" w:hAnsi="宋体"/>
          <w:b/>
          <w:sz w:val="36"/>
          <w:szCs w:val="36"/>
        </w:rPr>
      </w:pPr>
    </w:p>
    <w:p>
      <w:pPr>
        <w:widowControl/>
        <w:spacing w:line="500" w:lineRule="exact"/>
        <w:ind w:firstLine="2891" w:firstLineChars="800"/>
        <w:rPr>
          <w:rFonts w:ascii="宋体" w:hAnsi="宋体"/>
          <w:b/>
          <w:sz w:val="36"/>
          <w:szCs w:val="36"/>
        </w:rPr>
      </w:pPr>
    </w:p>
    <w:p>
      <w:pPr>
        <w:widowControl/>
        <w:spacing w:line="500" w:lineRule="exact"/>
        <w:ind w:firstLine="2891" w:firstLineChars="800"/>
        <w:rPr>
          <w:rFonts w:ascii="宋体" w:hAnsi="宋体"/>
          <w:b/>
          <w:sz w:val="36"/>
          <w:szCs w:val="36"/>
        </w:rPr>
      </w:pPr>
    </w:p>
    <w:p>
      <w:pPr>
        <w:widowControl/>
        <w:spacing w:line="500" w:lineRule="exact"/>
        <w:jc w:val="center"/>
        <w:rPr>
          <w:rFonts w:ascii="黑体" w:eastAsia="黑体"/>
          <w:sz w:val="32"/>
          <w:szCs w:val="32"/>
        </w:rPr>
      </w:pPr>
      <w:r>
        <w:rPr>
          <w:rFonts w:hint="eastAsia" w:ascii="宋体" w:hAnsi="宋体"/>
          <w:b/>
          <w:sz w:val="36"/>
          <w:szCs w:val="36"/>
        </w:rPr>
        <w:t>十、</w:t>
      </w:r>
      <w:r>
        <w:rPr>
          <w:rFonts w:hint="eastAsia" w:ascii="黑体" w:eastAsia="黑体"/>
          <w:sz w:val="32"/>
          <w:szCs w:val="32"/>
        </w:rPr>
        <w:t>盐都区政府采购事前信用承诺书</w:t>
      </w:r>
    </w:p>
    <w:p>
      <w:pPr>
        <w:widowControl/>
        <w:spacing w:line="500" w:lineRule="exact"/>
        <w:ind w:firstLine="640" w:firstLineChars="200"/>
        <w:jc w:val="left"/>
        <w:rPr>
          <w:rFonts w:ascii="方正仿宋_GBK" w:hAnsi="宋体" w:eastAsia="方正仿宋_GBK" w:cs="宋体"/>
          <w:kern w:val="0"/>
          <w:sz w:val="32"/>
          <w:szCs w:val="32"/>
        </w:rPr>
      </w:pPr>
    </w:p>
    <w:p>
      <w:pPr>
        <w:widowControl/>
        <w:spacing w:line="500" w:lineRule="exact"/>
        <w:ind w:firstLine="480" w:firstLineChars="200"/>
        <w:jc w:val="left"/>
        <w:rPr>
          <w:rFonts w:ascii="宋体" w:hAnsi="宋体"/>
          <w:sz w:val="24"/>
          <w:szCs w:val="24"/>
        </w:rPr>
      </w:pPr>
      <w:r>
        <w:rPr>
          <w:rFonts w:hint="eastAsia" w:ascii="宋体" w:hAnsi="宋体"/>
          <w:sz w:val="24"/>
          <w:szCs w:val="24"/>
        </w:rPr>
        <w:t>为营造我区公开、公平、公正、诚实守信的政府采购交易环境，树立诚信守法的投标人形象，本人代表本单位作出以下承诺：</w:t>
      </w:r>
    </w:p>
    <w:p>
      <w:pPr>
        <w:widowControl/>
        <w:spacing w:line="500" w:lineRule="exact"/>
        <w:jc w:val="left"/>
        <w:rPr>
          <w:rFonts w:ascii="宋体" w:hAnsi="宋体"/>
          <w:sz w:val="24"/>
          <w:szCs w:val="24"/>
        </w:rPr>
      </w:pPr>
      <w:r>
        <w:rPr>
          <w:rFonts w:hint="eastAsia" w:ascii="宋体" w:hAnsi="宋体"/>
          <w:sz w:val="24"/>
          <w:szCs w:val="24"/>
        </w:rPr>
        <w:t xml:space="preserve">    （一）本单位对所提交的企（事）业单位基本信息、企（事）业负责人、项目负责人、技术负责人、从业资质和资格、业绩、财务状况、信誉等所有资料，均合法、真实、准确、有效，无任何伪造、修改、虚假成份，并对所提供资料的真实性负责；</w:t>
      </w:r>
    </w:p>
    <w:p>
      <w:pPr>
        <w:widowControl/>
        <w:spacing w:line="500" w:lineRule="exact"/>
        <w:ind w:firstLine="480" w:firstLineChars="200"/>
        <w:jc w:val="left"/>
        <w:rPr>
          <w:rFonts w:ascii="宋体" w:hAnsi="宋体"/>
          <w:sz w:val="24"/>
          <w:szCs w:val="24"/>
        </w:rPr>
      </w:pPr>
      <w:r>
        <w:rPr>
          <w:rFonts w:hint="eastAsia" w:ascii="宋体" w:hAnsi="宋体"/>
          <w:sz w:val="24"/>
          <w:szCs w:val="24"/>
        </w:rPr>
        <w:t>（二）本单位无涉及政府采购活动的违法、违规不良记录，我公司及相关负责人无因存在重大隐患整改不力、发生有重大社会影响生产安全事故或其他严重违法违规行为而被列入失信联合惩戒的不良记录；</w:t>
      </w:r>
    </w:p>
    <w:p>
      <w:pPr>
        <w:widowControl/>
        <w:spacing w:line="500" w:lineRule="exact"/>
        <w:jc w:val="left"/>
        <w:rPr>
          <w:rFonts w:ascii="宋体" w:hAnsi="宋体"/>
          <w:sz w:val="24"/>
          <w:szCs w:val="24"/>
        </w:rPr>
      </w:pPr>
      <w:r>
        <w:rPr>
          <w:rFonts w:hint="eastAsia" w:ascii="宋体" w:hAnsi="宋体"/>
          <w:sz w:val="24"/>
          <w:szCs w:val="24"/>
        </w:rPr>
        <w:t xml:space="preserve">   （三）严格依照国家和省、市、区关于政府采购的法律、法规、规章、规范性文件，参加政府采购投标活动；积极履行社会责任，促进廉政建设； </w:t>
      </w:r>
    </w:p>
    <w:p>
      <w:pPr>
        <w:widowControl/>
        <w:spacing w:line="500" w:lineRule="exact"/>
        <w:jc w:val="left"/>
        <w:rPr>
          <w:rFonts w:ascii="宋体" w:hAnsi="宋体"/>
          <w:sz w:val="24"/>
          <w:szCs w:val="24"/>
        </w:rPr>
      </w:pPr>
      <w:r>
        <w:rPr>
          <w:rFonts w:hint="eastAsia" w:ascii="宋体" w:hAnsi="宋体"/>
          <w:sz w:val="24"/>
          <w:szCs w:val="24"/>
        </w:rPr>
        <w:t>   （四）自我约束、自我管理，守合同、重信用，自觉维护政府采购交易的良好秩序，与参与本次政府采购活动的其他供应商不存在直接控股或管理关系，不参与围标串标、弄虚作假、骗取中标、干扰评标、违约毁约等行为；</w:t>
      </w:r>
    </w:p>
    <w:p>
      <w:pPr>
        <w:widowControl/>
        <w:spacing w:line="500" w:lineRule="exact"/>
        <w:jc w:val="left"/>
        <w:rPr>
          <w:rFonts w:ascii="宋体" w:hAnsi="宋体"/>
          <w:sz w:val="24"/>
          <w:szCs w:val="24"/>
        </w:rPr>
      </w:pPr>
      <w:r>
        <w:rPr>
          <w:rFonts w:hint="eastAsia" w:ascii="宋体" w:hAnsi="宋体"/>
          <w:sz w:val="24"/>
          <w:szCs w:val="24"/>
        </w:rPr>
        <w:t>   （五）自觉接受政府、行业组织、社会公众、新闻舆论的监督；</w:t>
      </w:r>
    </w:p>
    <w:p>
      <w:pPr>
        <w:widowControl/>
        <w:spacing w:line="500" w:lineRule="exact"/>
        <w:ind w:firstLine="480" w:firstLineChars="200"/>
        <w:jc w:val="left"/>
        <w:rPr>
          <w:rFonts w:ascii="宋体" w:hAnsi="宋体"/>
          <w:sz w:val="24"/>
          <w:szCs w:val="24"/>
        </w:rPr>
      </w:pPr>
      <w:r>
        <w:rPr>
          <w:rFonts w:hint="eastAsia" w:ascii="宋体" w:hAnsi="宋体"/>
          <w:sz w:val="24"/>
          <w:szCs w:val="24"/>
        </w:rPr>
        <w:t>（六）本单位自愿接受政府采购监督管理机构和有关行政监督部门的依法检查。如发生违法违规或不良失信行为，自愿接受政府采购监督管理机构和有关行政监督部门依法给予的行政处罚（处理），并依法承担相应责任；</w:t>
      </w:r>
    </w:p>
    <w:p>
      <w:pPr>
        <w:widowControl/>
        <w:spacing w:line="500" w:lineRule="exact"/>
        <w:jc w:val="left"/>
        <w:rPr>
          <w:rFonts w:ascii="宋体" w:hAnsi="宋体"/>
          <w:sz w:val="24"/>
          <w:szCs w:val="24"/>
        </w:rPr>
      </w:pPr>
      <w:r>
        <w:rPr>
          <w:rFonts w:hint="eastAsia" w:ascii="宋体" w:hAnsi="宋体"/>
          <w:sz w:val="24"/>
          <w:szCs w:val="24"/>
        </w:rPr>
        <w:t>   （七）本人已认真阅读了上述承诺，并向本单位员工作了宣传教育。</w:t>
      </w:r>
    </w:p>
    <w:p>
      <w:pPr>
        <w:widowControl/>
        <w:spacing w:line="500" w:lineRule="exact"/>
        <w:jc w:val="left"/>
        <w:rPr>
          <w:rFonts w:ascii="宋体" w:hAnsi="宋体"/>
          <w:sz w:val="24"/>
          <w:szCs w:val="24"/>
        </w:rPr>
      </w:pPr>
    </w:p>
    <w:p>
      <w:pPr>
        <w:widowControl/>
        <w:spacing w:line="500" w:lineRule="exact"/>
        <w:jc w:val="center"/>
        <w:rPr>
          <w:rFonts w:ascii="宋体" w:hAnsi="宋体"/>
          <w:sz w:val="24"/>
          <w:szCs w:val="24"/>
        </w:rPr>
      </w:pPr>
      <w:r>
        <w:rPr>
          <w:rFonts w:hint="eastAsia" w:ascii="宋体" w:hAnsi="宋体"/>
          <w:sz w:val="24"/>
          <w:szCs w:val="24"/>
        </w:rPr>
        <w:t xml:space="preserve">                 法定代表人签名：</w:t>
      </w:r>
    </w:p>
    <w:p>
      <w:pPr>
        <w:widowControl/>
        <w:spacing w:line="500" w:lineRule="exact"/>
        <w:jc w:val="center"/>
        <w:rPr>
          <w:rFonts w:ascii="宋体" w:hAnsi="宋体"/>
          <w:sz w:val="24"/>
          <w:szCs w:val="24"/>
        </w:rPr>
      </w:pPr>
      <w:r>
        <w:rPr>
          <w:rFonts w:hint="eastAsia" w:ascii="宋体" w:hAnsi="宋体"/>
          <w:sz w:val="24"/>
          <w:szCs w:val="24"/>
        </w:rPr>
        <w:t xml:space="preserve">                   单位名称（盖章）：</w:t>
      </w:r>
    </w:p>
    <w:p>
      <w:pPr>
        <w:widowControl/>
        <w:spacing w:line="500" w:lineRule="exact"/>
        <w:jc w:val="center"/>
        <w:rPr>
          <w:rFonts w:ascii="宋体" w:hAnsi="宋体"/>
          <w:sz w:val="24"/>
          <w:szCs w:val="24"/>
        </w:rPr>
      </w:pPr>
      <w:r>
        <w:rPr>
          <w:rFonts w:hint="eastAsia" w:ascii="宋体" w:hAnsi="宋体"/>
          <w:sz w:val="24"/>
          <w:szCs w:val="24"/>
        </w:rPr>
        <w:t xml:space="preserve">                      年    月    日</w:t>
      </w:r>
    </w:p>
    <w:p>
      <w:pPr>
        <w:pStyle w:val="38"/>
        <w:ind w:firstLine="0" w:firstLineChars="0"/>
      </w:pPr>
    </w:p>
    <w:p>
      <w:pPr>
        <w:pStyle w:val="38"/>
        <w:ind w:firstLine="0" w:firstLineChars="0"/>
      </w:pPr>
    </w:p>
    <w:sectPr>
      <w:footerReference r:id="rId8" w:type="default"/>
      <w:pgSz w:w="11906" w:h="16838"/>
      <w:pgMar w:top="1440" w:right="1247" w:bottom="1440" w:left="124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KaiTi_GB2312">
    <w:altName w:val="楷体"/>
    <w:panose1 w:val="02010609060101010101"/>
    <w:charset w:val="00"/>
    <w:family w:val="roman"/>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幼圆">
    <w:panose1 w:val="02010509060101010101"/>
    <w:charset w:val="86"/>
    <w:family w:val="modern"/>
    <w:pitch w:val="default"/>
    <w:sig w:usb0="00000001" w:usb1="080E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黑体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新宋体">
    <w:panose1 w:val="02010609030101010101"/>
    <w:charset w:val="86"/>
    <w:family w:val="modern"/>
    <w:pitch w:val="default"/>
    <w:sig w:usb0="00000283" w:usb1="288F0000" w:usb2="00000006" w:usb3="00000000" w:csb0="00040001" w:csb1="00000000"/>
  </w:font>
  <w:font w:name="方正仿宋_GBK">
    <w:altName w:val="微软雅黑"/>
    <w:panose1 w:val="00000000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r>
      <w:rPr>
        <w:sz w:val="18"/>
      </w:rPr>
      <w:pict>
        <v:shape id="_x0000_s1033" o:spid="_x0000_s1033"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pPr>
                  <w:pStyle w:val="28"/>
                </w:pPr>
                <w:r>
                  <w:fldChar w:fldCharType="begin"/>
                </w:r>
                <w:r>
                  <w:instrText xml:space="preserve"> PAGE  \* MERGEFORMAT </w:instrText>
                </w:r>
                <w:r>
                  <w:fldChar w:fldCharType="separate"/>
                </w:r>
                <w:r>
                  <w:t>0</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framePr w:wrap="around" w:vAnchor="text" w:hAnchor="margin" w:xAlign="center" w:y="1"/>
      <w:rPr>
        <w:rStyle w:val="44"/>
      </w:rPr>
    </w:pPr>
    <w:r>
      <w:rPr>
        <w:rStyle w:val="44"/>
      </w:rPr>
      <w:fldChar w:fldCharType="begin"/>
    </w:r>
    <w:r>
      <w:rPr>
        <w:rStyle w:val="44"/>
      </w:rPr>
      <w:instrText xml:space="preserve">PAGE  </w:instrText>
    </w:r>
    <w:r>
      <w:rPr>
        <w:rStyle w:val="44"/>
      </w:rPr>
      <w:fldChar w:fldCharType="separate"/>
    </w:r>
    <w:r>
      <w:rPr>
        <w:rStyle w:val="44"/>
      </w:rPr>
      <w:t>1</w:t>
    </w:r>
    <w:r>
      <w:rPr>
        <w:rStyle w:val="44"/>
      </w:rPr>
      <w:fldChar w:fldCharType="end"/>
    </w:r>
  </w:p>
  <w:p>
    <w:pPr>
      <w:pStyle w:val="2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v:path/>
          <v:fill on="f" focussize="0,0"/>
          <v:stroke on="f" joinstyle="miter"/>
          <v:imagedata o:title=""/>
          <o:lock v:ext="edit"/>
          <v:textbox inset="0mm,0mm,0mm,0mm" style="mso-fit-shape-to-text:t;">
            <w:txbxContent>
              <w:p>
                <w:pPr>
                  <w:pStyle w:val="28"/>
                </w:pPr>
                <w:r>
                  <w:fldChar w:fldCharType="begin"/>
                </w:r>
                <w:r>
                  <w:instrText xml:space="preserve"> PAGE  \* MERGEFORMAT </w:instrText>
                </w:r>
                <w:r>
                  <w:fldChar w:fldCharType="separate"/>
                </w:r>
                <w:r>
                  <w:t>2</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rPr>
        <w:b/>
        <w:i/>
      </w:rPr>
    </w:pPr>
    <w:r>
      <w:pict>
        <v:shape id="_x0000_s1027" o:spid="_x0000_s1027"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28"/>
                </w:pPr>
                <w:r>
                  <w:fldChar w:fldCharType="begin"/>
                </w:r>
                <w:r>
                  <w:instrText xml:space="preserve"> PAGE  \* MERGEFORMAT </w:instrText>
                </w:r>
                <w:r>
                  <w:fldChar w:fldCharType="separate"/>
                </w:r>
                <w:r>
                  <w:t>20</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rPr>
        <w:b/>
        <w:i/>
      </w:rPr>
    </w:pPr>
    <w:r>
      <w:pict>
        <v:shape id="_x0000_s1035" o:spid="_x0000_s1035"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pPr>
                  <w:pStyle w:val="28"/>
                </w:pPr>
                <w:r>
                  <w:fldChar w:fldCharType="begin"/>
                </w:r>
                <w:r>
                  <w:instrText xml:space="preserve"> PAGE  \* MERGEFORMAT </w:instrText>
                </w:r>
                <w:r>
                  <w:fldChar w:fldCharType="separate"/>
                </w:r>
                <w:r>
                  <w:t>20</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rPr>
        <w:rFonts w:ascii="楷体" w:hAnsi="楷体" w:eastAsia="楷体"/>
        <w:sz w:val="24"/>
        <w:szCs w:val="24"/>
      </w:rPr>
    </w:pPr>
    <w:r>
      <w:rPr>
        <w:rFonts w:hint="eastAsia" w:ascii="楷体" w:hAnsi="楷体" w:eastAsia="楷体"/>
        <w:sz w:val="24"/>
        <w:szCs w:val="24"/>
      </w:rPr>
      <w:t>盐城市盐都区政府采购（</w:t>
    </w:r>
    <w:r>
      <w:rPr>
        <w:rFonts w:hint="eastAsia" w:ascii="楷体" w:hAnsi="楷体" w:eastAsia="楷体"/>
        <w:color w:val="auto"/>
        <w:sz w:val="24"/>
        <w:szCs w:val="24"/>
      </w:rPr>
      <w:t>YDZC  2021-FS</w:t>
    </w:r>
    <w:r>
      <w:rPr>
        <w:rFonts w:hint="eastAsia" w:ascii="楷体" w:hAnsi="楷体" w:eastAsia="楷体"/>
        <w:color w:val="auto"/>
        <w:sz w:val="24"/>
        <w:szCs w:val="24"/>
        <w:lang w:val="en-US" w:eastAsia="zh-CN"/>
      </w:rPr>
      <w:t>172</w:t>
    </w:r>
    <w:r>
      <w:rPr>
        <w:rFonts w:hint="eastAsia" w:ascii="楷体" w:hAnsi="楷体" w:eastAsia="楷体"/>
        <w:sz w:val="24"/>
        <w:szCs w:val="24"/>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ED8DB2"/>
    <w:multiLevelType w:val="singleLevel"/>
    <w:tmpl w:val="E4ED8DB2"/>
    <w:lvl w:ilvl="0" w:tentative="0">
      <w:start w:val="1"/>
      <w:numFmt w:val="chineseCounting"/>
      <w:suff w:val="nothing"/>
      <w:lvlText w:val="%1、"/>
      <w:lvlJc w:val="left"/>
      <w:rPr>
        <w:rFonts w:hint="eastAsia"/>
      </w:rPr>
    </w:lvl>
  </w:abstractNum>
  <w:abstractNum w:abstractNumId="1">
    <w:nsid w:val="08AB285A"/>
    <w:multiLevelType w:val="multilevel"/>
    <w:tmpl w:val="08AB285A"/>
    <w:lvl w:ilvl="0" w:tentative="0">
      <w:start w:val="2"/>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3CA3DFE"/>
    <w:multiLevelType w:val="singleLevel"/>
    <w:tmpl w:val="23CA3DFE"/>
    <w:lvl w:ilvl="0" w:tentative="0">
      <w:start w:val="1"/>
      <w:numFmt w:val="decimal"/>
      <w:lvlText w:val="%1、"/>
      <w:lvlJc w:val="left"/>
      <w:pPr>
        <w:tabs>
          <w:tab w:val="left" w:pos="480"/>
        </w:tabs>
        <w:ind w:left="480" w:hanging="480"/>
      </w:pPr>
      <w:rPr>
        <w:rFonts w:cs="Times New Roman"/>
      </w:rPr>
    </w:lvl>
  </w:abstractNum>
  <w:abstractNum w:abstractNumId="3">
    <w:nsid w:val="50223301"/>
    <w:multiLevelType w:val="singleLevel"/>
    <w:tmpl w:val="50223301"/>
    <w:lvl w:ilvl="0" w:tentative="0">
      <w:start w:val="2"/>
      <w:numFmt w:val="chineseCounting"/>
      <w:suff w:val="nothing"/>
      <w:lvlText w:val="%1、"/>
      <w:lvlJc w:val="left"/>
      <w:rPr>
        <w:rFonts w:hint="eastAsia"/>
      </w:rPr>
    </w:lvl>
  </w:abstractNum>
  <w:abstractNum w:abstractNumId="4">
    <w:nsid w:val="5A2B9532"/>
    <w:multiLevelType w:val="singleLevel"/>
    <w:tmpl w:val="5A2B9532"/>
    <w:lvl w:ilvl="0" w:tentative="0">
      <w:start w:val="2"/>
      <w:numFmt w:val="decimal"/>
      <w:suff w:val="space"/>
      <w:lvlText w:val="%1."/>
      <w:lvlJc w:val="left"/>
    </w:lvl>
  </w:abstractNum>
  <w:abstractNum w:abstractNumId="5">
    <w:nsid w:val="5C7E0EE5"/>
    <w:multiLevelType w:val="multilevel"/>
    <w:tmpl w:val="5C7E0EE5"/>
    <w:lvl w:ilvl="0" w:tentative="0">
      <w:start w:val="1"/>
      <w:numFmt w:val="chineseCountingThousand"/>
      <w:suff w:val="nothing"/>
      <w:lvlText w:val="第%1章 "/>
      <w:lvlJc w:val="left"/>
      <w:rPr>
        <w:rFonts w:hint="eastAsia" w:cs="Times New Roman"/>
      </w:rPr>
    </w:lvl>
    <w:lvl w:ilvl="1" w:tentative="0">
      <w:start w:val="1"/>
      <w:numFmt w:val="decimal"/>
      <w:suff w:val="nothing"/>
      <w:lvlText w:val="%2、"/>
      <w:lvlJc w:val="left"/>
      <w:rPr>
        <w:rFonts w:hint="eastAsia" w:cs="Times New Roman"/>
      </w:rPr>
    </w:lvl>
    <w:lvl w:ilvl="2" w:tentative="0">
      <w:start w:val="1"/>
      <w:numFmt w:val="decimal"/>
      <w:suff w:val="nothing"/>
      <w:lvlText w:val="%2.%3 "/>
      <w:lvlJc w:val="left"/>
      <w:rPr>
        <w:rFonts w:hint="eastAsia" w:cs="Times New Roman"/>
      </w:rPr>
    </w:lvl>
    <w:lvl w:ilvl="3" w:tentative="0">
      <w:start w:val="1"/>
      <w:numFmt w:val="decimal"/>
      <w:suff w:val="nothing"/>
      <w:lvlText w:val="%2.%3.%4 "/>
      <w:lvlJc w:val="left"/>
      <w:rPr>
        <w:rFonts w:hint="eastAsia" w:cs="Times New Roman"/>
      </w:rPr>
    </w:lvl>
    <w:lvl w:ilvl="4" w:tentative="0">
      <w:start w:val="1"/>
      <w:numFmt w:val="decimal"/>
      <w:suff w:val="nothing"/>
      <w:lvlText w:val="%2.%3.%4.%5 "/>
      <w:lvlJc w:val="left"/>
      <w:rPr>
        <w:rFonts w:hint="eastAsia" w:cs="Times New Roman"/>
      </w:rPr>
    </w:lvl>
    <w:lvl w:ilvl="5" w:tentative="0">
      <w:start w:val="1"/>
      <w:numFmt w:val="none"/>
      <w:pStyle w:val="12"/>
      <w:suff w:val="nothing"/>
      <w:lvlText w:val=""/>
      <w:lvlJc w:val="left"/>
      <w:rPr>
        <w:rFonts w:hint="eastAsia" w:cs="Times New Roman"/>
      </w:rPr>
    </w:lvl>
    <w:lvl w:ilvl="6" w:tentative="0">
      <w:start w:val="1"/>
      <w:numFmt w:val="none"/>
      <w:pStyle w:val="13"/>
      <w:suff w:val="nothing"/>
      <w:lvlText w:val=""/>
      <w:lvlJc w:val="left"/>
      <w:rPr>
        <w:rFonts w:hint="eastAsia" w:cs="Times New Roman"/>
      </w:rPr>
    </w:lvl>
    <w:lvl w:ilvl="7" w:tentative="0">
      <w:start w:val="1"/>
      <w:numFmt w:val="none"/>
      <w:pStyle w:val="14"/>
      <w:suff w:val="nothing"/>
      <w:lvlText w:val=""/>
      <w:lvlJc w:val="left"/>
      <w:rPr>
        <w:rFonts w:hint="eastAsia" w:cs="Times New Roman"/>
      </w:rPr>
    </w:lvl>
    <w:lvl w:ilvl="8" w:tentative="0">
      <w:start w:val="1"/>
      <w:numFmt w:val="none"/>
      <w:pStyle w:val="15"/>
      <w:suff w:val="nothing"/>
      <w:lvlText w:val=""/>
      <w:lvlJc w:val="left"/>
      <w:rPr>
        <w:rFonts w:hint="eastAsia" w:cs="Times New Roman"/>
      </w:rPr>
    </w:lvl>
  </w:abstractNum>
  <w:abstractNum w:abstractNumId="6">
    <w:nsid w:val="614373BF"/>
    <w:multiLevelType w:val="singleLevel"/>
    <w:tmpl w:val="614373BF"/>
    <w:lvl w:ilvl="0" w:tentative="0">
      <w:start w:val="1"/>
      <w:numFmt w:val="decimal"/>
      <w:suff w:val="nothing"/>
      <w:lvlText w:val="（%1）"/>
      <w:lvlJc w:val="left"/>
    </w:lvl>
  </w:abstractNum>
  <w:abstractNum w:abstractNumId="7">
    <w:nsid w:val="6FBA05F3"/>
    <w:multiLevelType w:val="singleLevel"/>
    <w:tmpl w:val="6FBA05F3"/>
    <w:lvl w:ilvl="0" w:tentative="0">
      <w:start w:val="1"/>
      <w:numFmt w:val="japaneseCounting"/>
      <w:lvlText w:val="第%1章"/>
      <w:lvlJc w:val="left"/>
      <w:pPr>
        <w:tabs>
          <w:tab w:val="left" w:pos="1440"/>
        </w:tabs>
        <w:ind w:left="1440" w:hanging="1440"/>
      </w:pPr>
      <w:rPr>
        <w:rFonts w:hint="eastAsia" w:ascii="黑体" w:eastAsia="黑体" w:cs="Times New Roman"/>
        <w:b w:val="0"/>
        <w:sz w:val="36"/>
      </w:rPr>
    </w:lvl>
  </w:abstractNum>
  <w:num w:numId="1">
    <w:abstractNumId w:val="5"/>
  </w:num>
  <w:num w:numId="2">
    <w:abstractNumId w:val="7"/>
  </w:num>
  <w:num w:numId="3">
    <w:abstractNumId w:val="3"/>
  </w:num>
  <w:num w:numId="4">
    <w:abstractNumId w:val="6"/>
  </w:num>
  <w:num w:numId="5">
    <w:abstractNumId w:val="0"/>
  </w:num>
  <w:num w:numId="6">
    <w:abstractNumId w:val="2"/>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1"/>
    </o:shapelayout>
  </w:hdrShapeDefaults>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009C15C3"/>
    <w:rsid w:val="00000F4D"/>
    <w:rsid w:val="00014898"/>
    <w:rsid w:val="000206D5"/>
    <w:rsid w:val="0002101B"/>
    <w:rsid w:val="00022E96"/>
    <w:rsid w:val="00024D72"/>
    <w:rsid w:val="000260AC"/>
    <w:rsid w:val="000328B9"/>
    <w:rsid w:val="00034F55"/>
    <w:rsid w:val="00042FDF"/>
    <w:rsid w:val="000433E8"/>
    <w:rsid w:val="00044E0A"/>
    <w:rsid w:val="0004545D"/>
    <w:rsid w:val="0005110F"/>
    <w:rsid w:val="00053743"/>
    <w:rsid w:val="000568D2"/>
    <w:rsid w:val="000577E8"/>
    <w:rsid w:val="00063CD7"/>
    <w:rsid w:val="0008440E"/>
    <w:rsid w:val="0008553B"/>
    <w:rsid w:val="00087D36"/>
    <w:rsid w:val="00093038"/>
    <w:rsid w:val="000945BF"/>
    <w:rsid w:val="000A52FF"/>
    <w:rsid w:val="000A7FF9"/>
    <w:rsid w:val="000B12CA"/>
    <w:rsid w:val="000B1961"/>
    <w:rsid w:val="000B60C0"/>
    <w:rsid w:val="000C04DF"/>
    <w:rsid w:val="000C08D7"/>
    <w:rsid w:val="000D2EB1"/>
    <w:rsid w:val="000D4EF4"/>
    <w:rsid w:val="000D5EF5"/>
    <w:rsid w:val="000E037C"/>
    <w:rsid w:val="000E5FF0"/>
    <w:rsid w:val="000E6B7A"/>
    <w:rsid w:val="000F069E"/>
    <w:rsid w:val="000F5356"/>
    <w:rsid w:val="000F77C4"/>
    <w:rsid w:val="000F7927"/>
    <w:rsid w:val="00100527"/>
    <w:rsid w:val="00105F07"/>
    <w:rsid w:val="00107BE2"/>
    <w:rsid w:val="00111F87"/>
    <w:rsid w:val="0011312C"/>
    <w:rsid w:val="00113133"/>
    <w:rsid w:val="001155D4"/>
    <w:rsid w:val="001164A2"/>
    <w:rsid w:val="00116777"/>
    <w:rsid w:val="00122B1D"/>
    <w:rsid w:val="0012312C"/>
    <w:rsid w:val="00126717"/>
    <w:rsid w:val="001277B9"/>
    <w:rsid w:val="001314E2"/>
    <w:rsid w:val="00135D3B"/>
    <w:rsid w:val="00135FE9"/>
    <w:rsid w:val="00136810"/>
    <w:rsid w:val="00136EF1"/>
    <w:rsid w:val="001373DC"/>
    <w:rsid w:val="0014040A"/>
    <w:rsid w:val="00143B57"/>
    <w:rsid w:val="0014446B"/>
    <w:rsid w:val="00145FA2"/>
    <w:rsid w:val="00146686"/>
    <w:rsid w:val="00150410"/>
    <w:rsid w:val="00150890"/>
    <w:rsid w:val="00151728"/>
    <w:rsid w:val="001556E7"/>
    <w:rsid w:val="00157962"/>
    <w:rsid w:val="001602FA"/>
    <w:rsid w:val="00167070"/>
    <w:rsid w:val="001672FA"/>
    <w:rsid w:val="00167D5D"/>
    <w:rsid w:val="00172496"/>
    <w:rsid w:val="00172CAE"/>
    <w:rsid w:val="00172D6E"/>
    <w:rsid w:val="00173262"/>
    <w:rsid w:val="00173636"/>
    <w:rsid w:val="00173788"/>
    <w:rsid w:val="0017444E"/>
    <w:rsid w:val="001754A7"/>
    <w:rsid w:val="001807F6"/>
    <w:rsid w:val="001833B7"/>
    <w:rsid w:val="00184235"/>
    <w:rsid w:val="00184A7C"/>
    <w:rsid w:val="00184ABD"/>
    <w:rsid w:val="0018526B"/>
    <w:rsid w:val="00187F65"/>
    <w:rsid w:val="00191014"/>
    <w:rsid w:val="00192E7E"/>
    <w:rsid w:val="001A2103"/>
    <w:rsid w:val="001A4EB2"/>
    <w:rsid w:val="001A56D2"/>
    <w:rsid w:val="001A7E3D"/>
    <w:rsid w:val="001B0859"/>
    <w:rsid w:val="001B3483"/>
    <w:rsid w:val="001B408D"/>
    <w:rsid w:val="001B7E07"/>
    <w:rsid w:val="001C3E07"/>
    <w:rsid w:val="001C4ED1"/>
    <w:rsid w:val="001C4FB1"/>
    <w:rsid w:val="001C5A6B"/>
    <w:rsid w:val="001C7611"/>
    <w:rsid w:val="001D53D7"/>
    <w:rsid w:val="001D6836"/>
    <w:rsid w:val="001D68C7"/>
    <w:rsid w:val="001E15D4"/>
    <w:rsid w:val="001E4DB5"/>
    <w:rsid w:val="001E542D"/>
    <w:rsid w:val="001F09DB"/>
    <w:rsid w:val="001F0C7F"/>
    <w:rsid w:val="00201655"/>
    <w:rsid w:val="00202013"/>
    <w:rsid w:val="002031EF"/>
    <w:rsid w:val="00203A1A"/>
    <w:rsid w:val="00205A05"/>
    <w:rsid w:val="00210BAC"/>
    <w:rsid w:val="0021140E"/>
    <w:rsid w:val="00215DC1"/>
    <w:rsid w:val="002161B8"/>
    <w:rsid w:val="00216568"/>
    <w:rsid w:val="00220AC7"/>
    <w:rsid w:val="00221965"/>
    <w:rsid w:val="00221A59"/>
    <w:rsid w:val="002226FA"/>
    <w:rsid w:val="00230E24"/>
    <w:rsid w:val="0023210C"/>
    <w:rsid w:val="002330E3"/>
    <w:rsid w:val="00233FCD"/>
    <w:rsid w:val="0023584D"/>
    <w:rsid w:val="00236AE4"/>
    <w:rsid w:val="0024059F"/>
    <w:rsid w:val="00243D1D"/>
    <w:rsid w:val="0024413C"/>
    <w:rsid w:val="00244EEA"/>
    <w:rsid w:val="002538D2"/>
    <w:rsid w:val="00253B60"/>
    <w:rsid w:val="00261413"/>
    <w:rsid w:val="00261CE2"/>
    <w:rsid w:val="00261F8C"/>
    <w:rsid w:val="0027299E"/>
    <w:rsid w:val="002738D9"/>
    <w:rsid w:val="00274F8F"/>
    <w:rsid w:val="00281BB0"/>
    <w:rsid w:val="0028239B"/>
    <w:rsid w:val="002850E1"/>
    <w:rsid w:val="00286F95"/>
    <w:rsid w:val="0028786E"/>
    <w:rsid w:val="00287879"/>
    <w:rsid w:val="002928EB"/>
    <w:rsid w:val="002933D1"/>
    <w:rsid w:val="00296951"/>
    <w:rsid w:val="00297EC6"/>
    <w:rsid w:val="002A0AAC"/>
    <w:rsid w:val="002A0FE0"/>
    <w:rsid w:val="002A11FE"/>
    <w:rsid w:val="002A2C60"/>
    <w:rsid w:val="002A366F"/>
    <w:rsid w:val="002B3EE3"/>
    <w:rsid w:val="002B417B"/>
    <w:rsid w:val="002B429F"/>
    <w:rsid w:val="002C1BBA"/>
    <w:rsid w:val="002C3534"/>
    <w:rsid w:val="002C3F38"/>
    <w:rsid w:val="002C5408"/>
    <w:rsid w:val="002C69C3"/>
    <w:rsid w:val="002C6E21"/>
    <w:rsid w:val="002C73C8"/>
    <w:rsid w:val="002C7AED"/>
    <w:rsid w:val="002D3450"/>
    <w:rsid w:val="002D6983"/>
    <w:rsid w:val="002E41E3"/>
    <w:rsid w:val="002E5044"/>
    <w:rsid w:val="002F19B2"/>
    <w:rsid w:val="002F38FA"/>
    <w:rsid w:val="002F47C7"/>
    <w:rsid w:val="002F7361"/>
    <w:rsid w:val="00300649"/>
    <w:rsid w:val="00303CA3"/>
    <w:rsid w:val="00303E72"/>
    <w:rsid w:val="00316663"/>
    <w:rsid w:val="0032301C"/>
    <w:rsid w:val="003265FB"/>
    <w:rsid w:val="0033044B"/>
    <w:rsid w:val="00332F13"/>
    <w:rsid w:val="003340F5"/>
    <w:rsid w:val="00340028"/>
    <w:rsid w:val="00341CFD"/>
    <w:rsid w:val="00343149"/>
    <w:rsid w:val="00345295"/>
    <w:rsid w:val="003454E9"/>
    <w:rsid w:val="003500F1"/>
    <w:rsid w:val="003509F7"/>
    <w:rsid w:val="00350EA5"/>
    <w:rsid w:val="00353FD2"/>
    <w:rsid w:val="0035538B"/>
    <w:rsid w:val="0036297C"/>
    <w:rsid w:val="003635FE"/>
    <w:rsid w:val="00363F9E"/>
    <w:rsid w:val="0037064A"/>
    <w:rsid w:val="00375EA8"/>
    <w:rsid w:val="00376312"/>
    <w:rsid w:val="00376C73"/>
    <w:rsid w:val="00377F65"/>
    <w:rsid w:val="00377FB5"/>
    <w:rsid w:val="00383185"/>
    <w:rsid w:val="00383F7F"/>
    <w:rsid w:val="00384043"/>
    <w:rsid w:val="0038499F"/>
    <w:rsid w:val="0039067A"/>
    <w:rsid w:val="003934B9"/>
    <w:rsid w:val="003943DD"/>
    <w:rsid w:val="00395176"/>
    <w:rsid w:val="003A3DA8"/>
    <w:rsid w:val="003A5717"/>
    <w:rsid w:val="003A5972"/>
    <w:rsid w:val="003A5DC7"/>
    <w:rsid w:val="003A76BE"/>
    <w:rsid w:val="003B0F32"/>
    <w:rsid w:val="003B1659"/>
    <w:rsid w:val="003B381C"/>
    <w:rsid w:val="003B636B"/>
    <w:rsid w:val="003C0145"/>
    <w:rsid w:val="003C11D1"/>
    <w:rsid w:val="003C47D5"/>
    <w:rsid w:val="003D0584"/>
    <w:rsid w:val="003D28E8"/>
    <w:rsid w:val="003D38F6"/>
    <w:rsid w:val="003D4372"/>
    <w:rsid w:val="003D4434"/>
    <w:rsid w:val="003D4A9A"/>
    <w:rsid w:val="003D4FAB"/>
    <w:rsid w:val="003D7432"/>
    <w:rsid w:val="003D7C9A"/>
    <w:rsid w:val="003E1B70"/>
    <w:rsid w:val="003E24F1"/>
    <w:rsid w:val="003F1897"/>
    <w:rsid w:val="003F2998"/>
    <w:rsid w:val="003F32E1"/>
    <w:rsid w:val="003F3E4A"/>
    <w:rsid w:val="003F6C64"/>
    <w:rsid w:val="0040090B"/>
    <w:rsid w:val="00401AF3"/>
    <w:rsid w:val="00403410"/>
    <w:rsid w:val="00410D89"/>
    <w:rsid w:val="004150B3"/>
    <w:rsid w:val="004154C6"/>
    <w:rsid w:val="0042363A"/>
    <w:rsid w:val="0042619B"/>
    <w:rsid w:val="00426FA2"/>
    <w:rsid w:val="004308CE"/>
    <w:rsid w:val="004315A7"/>
    <w:rsid w:val="004326F5"/>
    <w:rsid w:val="004347A8"/>
    <w:rsid w:val="004351DE"/>
    <w:rsid w:val="004374DE"/>
    <w:rsid w:val="004420BC"/>
    <w:rsid w:val="00443946"/>
    <w:rsid w:val="004478A1"/>
    <w:rsid w:val="00451627"/>
    <w:rsid w:val="0045170E"/>
    <w:rsid w:val="00454E2B"/>
    <w:rsid w:val="004552C4"/>
    <w:rsid w:val="00456BD4"/>
    <w:rsid w:val="00456FA4"/>
    <w:rsid w:val="00461136"/>
    <w:rsid w:val="00461441"/>
    <w:rsid w:val="0046247E"/>
    <w:rsid w:val="00464741"/>
    <w:rsid w:val="00471356"/>
    <w:rsid w:val="00472B24"/>
    <w:rsid w:val="00473C60"/>
    <w:rsid w:val="00475726"/>
    <w:rsid w:val="00476512"/>
    <w:rsid w:val="0048202B"/>
    <w:rsid w:val="00484A1B"/>
    <w:rsid w:val="00485B9C"/>
    <w:rsid w:val="00485CE1"/>
    <w:rsid w:val="0049379E"/>
    <w:rsid w:val="00493C40"/>
    <w:rsid w:val="004A06E6"/>
    <w:rsid w:val="004A21FF"/>
    <w:rsid w:val="004A26D9"/>
    <w:rsid w:val="004A53D1"/>
    <w:rsid w:val="004A769A"/>
    <w:rsid w:val="004B1C75"/>
    <w:rsid w:val="004B2805"/>
    <w:rsid w:val="004B55F5"/>
    <w:rsid w:val="004C1733"/>
    <w:rsid w:val="004C1A0F"/>
    <w:rsid w:val="004C246A"/>
    <w:rsid w:val="004C2A19"/>
    <w:rsid w:val="004C3E60"/>
    <w:rsid w:val="004C4011"/>
    <w:rsid w:val="004C4107"/>
    <w:rsid w:val="004D2EA0"/>
    <w:rsid w:val="004D3822"/>
    <w:rsid w:val="004D3BEE"/>
    <w:rsid w:val="004E1F45"/>
    <w:rsid w:val="004E33BB"/>
    <w:rsid w:val="004E3A95"/>
    <w:rsid w:val="004E4030"/>
    <w:rsid w:val="004E54F9"/>
    <w:rsid w:val="004F0ED7"/>
    <w:rsid w:val="004F72FB"/>
    <w:rsid w:val="00500D06"/>
    <w:rsid w:val="00501C61"/>
    <w:rsid w:val="005032F1"/>
    <w:rsid w:val="00504A02"/>
    <w:rsid w:val="0050501C"/>
    <w:rsid w:val="00505886"/>
    <w:rsid w:val="005162B3"/>
    <w:rsid w:val="00521780"/>
    <w:rsid w:val="00522335"/>
    <w:rsid w:val="0052451D"/>
    <w:rsid w:val="005245A6"/>
    <w:rsid w:val="00525ABA"/>
    <w:rsid w:val="00527ED0"/>
    <w:rsid w:val="005300F4"/>
    <w:rsid w:val="00530366"/>
    <w:rsid w:val="005366B2"/>
    <w:rsid w:val="00540EB4"/>
    <w:rsid w:val="0054405C"/>
    <w:rsid w:val="0054492F"/>
    <w:rsid w:val="005516F2"/>
    <w:rsid w:val="00553FEA"/>
    <w:rsid w:val="00556FAA"/>
    <w:rsid w:val="00557026"/>
    <w:rsid w:val="00561454"/>
    <w:rsid w:val="005636DA"/>
    <w:rsid w:val="0056503B"/>
    <w:rsid w:val="00566AF1"/>
    <w:rsid w:val="005702DC"/>
    <w:rsid w:val="00571182"/>
    <w:rsid w:val="00571A6A"/>
    <w:rsid w:val="00571DCE"/>
    <w:rsid w:val="00572FFE"/>
    <w:rsid w:val="00576C13"/>
    <w:rsid w:val="00583AD2"/>
    <w:rsid w:val="00592802"/>
    <w:rsid w:val="00592F86"/>
    <w:rsid w:val="00593B26"/>
    <w:rsid w:val="00593E78"/>
    <w:rsid w:val="00596087"/>
    <w:rsid w:val="005A52E5"/>
    <w:rsid w:val="005B2D57"/>
    <w:rsid w:val="005B426E"/>
    <w:rsid w:val="005B67E9"/>
    <w:rsid w:val="005C2680"/>
    <w:rsid w:val="005C463B"/>
    <w:rsid w:val="005C6D3D"/>
    <w:rsid w:val="005C7784"/>
    <w:rsid w:val="005D5A80"/>
    <w:rsid w:val="005D6455"/>
    <w:rsid w:val="005D67FD"/>
    <w:rsid w:val="005E1392"/>
    <w:rsid w:val="005E45B6"/>
    <w:rsid w:val="005E6C5F"/>
    <w:rsid w:val="005F08CD"/>
    <w:rsid w:val="005F1138"/>
    <w:rsid w:val="005F15DC"/>
    <w:rsid w:val="005F2FFC"/>
    <w:rsid w:val="005F3452"/>
    <w:rsid w:val="005F41EC"/>
    <w:rsid w:val="005F4C5A"/>
    <w:rsid w:val="005F5069"/>
    <w:rsid w:val="005F67EC"/>
    <w:rsid w:val="005F7BB6"/>
    <w:rsid w:val="00602033"/>
    <w:rsid w:val="00602BC5"/>
    <w:rsid w:val="00602D89"/>
    <w:rsid w:val="006039CE"/>
    <w:rsid w:val="00607105"/>
    <w:rsid w:val="00610A69"/>
    <w:rsid w:val="00621C87"/>
    <w:rsid w:val="006245D1"/>
    <w:rsid w:val="00626691"/>
    <w:rsid w:val="0063046B"/>
    <w:rsid w:val="006317DD"/>
    <w:rsid w:val="0063435F"/>
    <w:rsid w:val="00640822"/>
    <w:rsid w:val="00640E5A"/>
    <w:rsid w:val="00641A51"/>
    <w:rsid w:val="00650DFD"/>
    <w:rsid w:val="00654001"/>
    <w:rsid w:val="00657DAF"/>
    <w:rsid w:val="006652F9"/>
    <w:rsid w:val="00670EEE"/>
    <w:rsid w:val="006723E3"/>
    <w:rsid w:val="00673B05"/>
    <w:rsid w:val="0067674F"/>
    <w:rsid w:val="0068149E"/>
    <w:rsid w:val="006847A7"/>
    <w:rsid w:val="00684F20"/>
    <w:rsid w:val="00687C15"/>
    <w:rsid w:val="006906A4"/>
    <w:rsid w:val="00691923"/>
    <w:rsid w:val="00693035"/>
    <w:rsid w:val="00694760"/>
    <w:rsid w:val="00694E1F"/>
    <w:rsid w:val="00694F0C"/>
    <w:rsid w:val="006975CE"/>
    <w:rsid w:val="00697C08"/>
    <w:rsid w:val="006A18A8"/>
    <w:rsid w:val="006A2A9F"/>
    <w:rsid w:val="006A30AF"/>
    <w:rsid w:val="006A45AB"/>
    <w:rsid w:val="006A4FB7"/>
    <w:rsid w:val="006A61FD"/>
    <w:rsid w:val="006A6899"/>
    <w:rsid w:val="006B1515"/>
    <w:rsid w:val="006B7954"/>
    <w:rsid w:val="006C59C7"/>
    <w:rsid w:val="006C5BB6"/>
    <w:rsid w:val="006C6F7B"/>
    <w:rsid w:val="006D5CF5"/>
    <w:rsid w:val="006D620D"/>
    <w:rsid w:val="006D7FBA"/>
    <w:rsid w:val="006E171D"/>
    <w:rsid w:val="006E4543"/>
    <w:rsid w:val="006F1D6E"/>
    <w:rsid w:val="006F75B8"/>
    <w:rsid w:val="00703F05"/>
    <w:rsid w:val="00707181"/>
    <w:rsid w:val="007128F9"/>
    <w:rsid w:val="00714244"/>
    <w:rsid w:val="00715EB4"/>
    <w:rsid w:val="00716CA8"/>
    <w:rsid w:val="00717A20"/>
    <w:rsid w:val="007257BB"/>
    <w:rsid w:val="007315F5"/>
    <w:rsid w:val="0073172F"/>
    <w:rsid w:val="0073181E"/>
    <w:rsid w:val="007328D5"/>
    <w:rsid w:val="0073340A"/>
    <w:rsid w:val="007417D0"/>
    <w:rsid w:val="007437C3"/>
    <w:rsid w:val="007444C9"/>
    <w:rsid w:val="00745C2E"/>
    <w:rsid w:val="007618BE"/>
    <w:rsid w:val="00761C69"/>
    <w:rsid w:val="00764B03"/>
    <w:rsid w:val="00765EED"/>
    <w:rsid w:val="00770230"/>
    <w:rsid w:val="00780722"/>
    <w:rsid w:val="007810A8"/>
    <w:rsid w:val="00781B76"/>
    <w:rsid w:val="0078223B"/>
    <w:rsid w:val="00785FFD"/>
    <w:rsid w:val="0078668A"/>
    <w:rsid w:val="007927F1"/>
    <w:rsid w:val="00794CF5"/>
    <w:rsid w:val="00796106"/>
    <w:rsid w:val="007A2A2C"/>
    <w:rsid w:val="007B1C82"/>
    <w:rsid w:val="007B29EF"/>
    <w:rsid w:val="007B5BD3"/>
    <w:rsid w:val="007B6F70"/>
    <w:rsid w:val="007B6F82"/>
    <w:rsid w:val="007C3E3E"/>
    <w:rsid w:val="007C5524"/>
    <w:rsid w:val="007D163A"/>
    <w:rsid w:val="007D1FD8"/>
    <w:rsid w:val="007D27E9"/>
    <w:rsid w:val="007D4258"/>
    <w:rsid w:val="007D545C"/>
    <w:rsid w:val="007D5C6D"/>
    <w:rsid w:val="007D72AF"/>
    <w:rsid w:val="007D7D6F"/>
    <w:rsid w:val="007E1DFE"/>
    <w:rsid w:val="007E3653"/>
    <w:rsid w:val="007E3EDB"/>
    <w:rsid w:val="007E750A"/>
    <w:rsid w:val="007F0E14"/>
    <w:rsid w:val="007F2A94"/>
    <w:rsid w:val="007F57B4"/>
    <w:rsid w:val="007F60C3"/>
    <w:rsid w:val="008024AF"/>
    <w:rsid w:val="00802E40"/>
    <w:rsid w:val="00804844"/>
    <w:rsid w:val="00804E70"/>
    <w:rsid w:val="00810133"/>
    <w:rsid w:val="008176E9"/>
    <w:rsid w:val="00817CF4"/>
    <w:rsid w:val="00821A84"/>
    <w:rsid w:val="00821EB3"/>
    <w:rsid w:val="00823DBF"/>
    <w:rsid w:val="008247D1"/>
    <w:rsid w:val="00824FC4"/>
    <w:rsid w:val="008329E8"/>
    <w:rsid w:val="0083345D"/>
    <w:rsid w:val="00835B40"/>
    <w:rsid w:val="00835C2E"/>
    <w:rsid w:val="0083600E"/>
    <w:rsid w:val="008371BF"/>
    <w:rsid w:val="008421FF"/>
    <w:rsid w:val="0084432F"/>
    <w:rsid w:val="008451AC"/>
    <w:rsid w:val="00846B65"/>
    <w:rsid w:val="008471F4"/>
    <w:rsid w:val="00847EF7"/>
    <w:rsid w:val="008519E9"/>
    <w:rsid w:val="00851B12"/>
    <w:rsid w:val="00856AF5"/>
    <w:rsid w:val="00856B2F"/>
    <w:rsid w:val="00857B05"/>
    <w:rsid w:val="00857D54"/>
    <w:rsid w:val="008611BB"/>
    <w:rsid w:val="00862EE2"/>
    <w:rsid w:val="008656F4"/>
    <w:rsid w:val="00865FB1"/>
    <w:rsid w:val="0086638F"/>
    <w:rsid w:val="0087340B"/>
    <w:rsid w:val="0087740C"/>
    <w:rsid w:val="00880530"/>
    <w:rsid w:val="00881DA0"/>
    <w:rsid w:val="008938EA"/>
    <w:rsid w:val="00893D16"/>
    <w:rsid w:val="0089578E"/>
    <w:rsid w:val="008965CE"/>
    <w:rsid w:val="00896D1A"/>
    <w:rsid w:val="00897B6E"/>
    <w:rsid w:val="008A2C81"/>
    <w:rsid w:val="008A4C0D"/>
    <w:rsid w:val="008A4DD0"/>
    <w:rsid w:val="008A6A3A"/>
    <w:rsid w:val="008B1D4F"/>
    <w:rsid w:val="008B480B"/>
    <w:rsid w:val="008C184C"/>
    <w:rsid w:val="008C3B02"/>
    <w:rsid w:val="008D2902"/>
    <w:rsid w:val="008D35C7"/>
    <w:rsid w:val="008D49C7"/>
    <w:rsid w:val="008D546D"/>
    <w:rsid w:val="008D5F3F"/>
    <w:rsid w:val="008D6379"/>
    <w:rsid w:val="008D7579"/>
    <w:rsid w:val="008E23E5"/>
    <w:rsid w:val="008F0087"/>
    <w:rsid w:val="008F2793"/>
    <w:rsid w:val="008F2FFB"/>
    <w:rsid w:val="008F6A60"/>
    <w:rsid w:val="00900470"/>
    <w:rsid w:val="00901199"/>
    <w:rsid w:val="00904E36"/>
    <w:rsid w:val="0090557A"/>
    <w:rsid w:val="00907613"/>
    <w:rsid w:val="00910F1F"/>
    <w:rsid w:val="0091116C"/>
    <w:rsid w:val="00911295"/>
    <w:rsid w:val="00914118"/>
    <w:rsid w:val="009149CD"/>
    <w:rsid w:val="00914F40"/>
    <w:rsid w:val="00915BB7"/>
    <w:rsid w:val="00917008"/>
    <w:rsid w:val="00922EC7"/>
    <w:rsid w:val="009278F6"/>
    <w:rsid w:val="00930579"/>
    <w:rsid w:val="00930B3A"/>
    <w:rsid w:val="00932ECA"/>
    <w:rsid w:val="00937B06"/>
    <w:rsid w:val="00942F5E"/>
    <w:rsid w:val="00943883"/>
    <w:rsid w:val="009547CD"/>
    <w:rsid w:val="00955D21"/>
    <w:rsid w:val="00956FDC"/>
    <w:rsid w:val="009603F7"/>
    <w:rsid w:val="009607FA"/>
    <w:rsid w:val="0096253F"/>
    <w:rsid w:val="009667B0"/>
    <w:rsid w:val="0097183B"/>
    <w:rsid w:val="00977374"/>
    <w:rsid w:val="00980210"/>
    <w:rsid w:val="00980402"/>
    <w:rsid w:val="00980446"/>
    <w:rsid w:val="00980F2C"/>
    <w:rsid w:val="00981BF4"/>
    <w:rsid w:val="00990221"/>
    <w:rsid w:val="00996165"/>
    <w:rsid w:val="009A15D9"/>
    <w:rsid w:val="009A4E6E"/>
    <w:rsid w:val="009A610A"/>
    <w:rsid w:val="009A6263"/>
    <w:rsid w:val="009B204D"/>
    <w:rsid w:val="009B68A4"/>
    <w:rsid w:val="009C07CE"/>
    <w:rsid w:val="009C0CD4"/>
    <w:rsid w:val="009C15B2"/>
    <w:rsid w:val="009C15C3"/>
    <w:rsid w:val="009C17C1"/>
    <w:rsid w:val="009C6780"/>
    <w:rsid w:val="009D02A6"/>
    <w:rsid w:val="009D2110"/>
    <w:rsid w:val="009E1944"/>
    <w:rsid w:val="009E30E8"/>
    <w:rsid w:val="009E3522"/>
    <w:rsid w:val="009F08F4"/>
    <w:rsid w:val="009F6D9B"/>
    <w:rsid w:val="009F7EA3"/>
    <w:rsid w:val="00A031EB"/>
    <w:rsid w:val="00A036F2"/>
    <w:rsid w:val="00A0685C"/>
    <w:rsid w:val="00A10711"/>
    <w:rsid w:val="00A12305"/>
    <w:rsid w:val="00A12885"/>
    <w:rsid w:val="00A1678E"/>
    <w:rsid w:val="00A16989"/>
    <w:rsid w:val="00A233CC"/>
    <w:rsid w:val="00A2643C"/>
    <w:rsid w:val="00A26B02"/>
    <w:rsid w:val="00A26ECD"/>
    <w:rsid w:val="00A300BA"/>
    <w:rsid w:val="00A32157"/>
    <w:rsid w:val="00A334D3"/>
    <w:rsid w:val="00A34FCD"/>
    <w:rsid w:val="00A3672B"/>
    <w:rsid w:val="00A3699F"/>
    <w:rsid w:val="00A40C79"/>
    <w:rsid w:val="00A42673"/>
    <w:rsid w:val="00A42A6F"/>
    <w:rsid w:val="00A436FC"/>
    <w:rsid w:val="00A51071"/>
    <w:rsid w:val="00A5183E"/>
    <w:rsid w:val="00A520FA"/>
    <w:rsid w:val="00A6052C"/>
    <w:rsid w:val="00A617A2"/>
    <w:rsid w:val="00A669DE"/>
    <w:rsid w:val="00A67D30"/>
    <w:rsid w:val="00A70F77"/>
    <w:rsid w:val="00A71A03"/>
    <w:rsid w:val="00A72DDC"/>
    <w:rsid w:val="00A731B6"/>
    <w:rsid w:val="00A7491A"/>
    <w:rsid w:val="00A75997"/>
    <w:rsid w:val="00A80E67"/>
    <w:rsid w:val="00A81252"/>
    <w:rsid w:val="00A831A4"/>
    <w:rsid w:val="00A86D80"/>
    <w:rsid w:val="00A9357C"/>
    <w:rsid w:val="00AA0338"/>
    <w:rsid w:val="00AB2EA1"/>
    <w:rsid w:val="00AC025E"/>
    <w:rsid w:val="00AC0753"/>
    <w:rsid w:val="00AC0FCB"/>
    <w:rsid w:val="00AC2A84"/>
    <w:rsid w:val="00AC3025"/>
    <w:rsid w:val="00AC3DDB"/>
    <w:rsid w:val="00AC427E"/>
    <w:rsid w:val="00AC530A"/>
    <w:rsid w:val="00AC645A"/>
    <w:rsid w:val="00AC7FE4"/>
    <w:rsid w:val="00AD7EF8"/>
    <w:rsid w:val="00AE6415"/>
    <w:rsid w:val="00AE6B0C"/>
    <w:rsid w:val="00AF3C80"/>
    <w:rsid w:val="00AF654D"/>
    <w:rsid w:val="00AF7459"/>
    <w:rsid w:val="00B03AA5"/>
    <w:rsid w:val="00B041D6"/>
    <w:rsid w:val="00B2286D"/>
    <w:rsid w:val="00B26881"/>
    <w:rsid w:val="00B27311"/>
    <w:rsid w:val="00B27674"/>
    <w:rsid w:val="00B30528"/>
    <w:rsid w:val="00B322C4"/>
    <w:rsid w:val="00B33CE4"/>
    <w:rsid w:val="00B3484F"/>
    <w:rsid w:val="00B37445"/>
    <w:rsid w:val="00B40C7D"/>
    <w:rsid w:val="00B45B75"/>
    <w:rsid w:val="00B46628"/>
    <w:rsid w:val="00B46B26"/>
    <w:rsid w:val="00B54491"/>
    <w:rsid w:val="00B62987"/>
    <w:rsid w:val="00B63EF2"/>
    <w:rsid w:val="00B64DC4"/>
    <w:rsid w:val="00B6561F"/>
    <w:rsid w:val="00B66233"/>
    <w:rsid w:val="00B71872"/>
    <w:rsid w:val="00B71BA0"/>
    <w:rsid w:val="00B770C6"/>
    <w:rsid w:val="00B77714"/>
    <w:rsid w:val="00B837C6"/>
    <w:rsid w:val="00B858C0"/>
    <w:rsid w:val="00B9171F"/>
    <w:rsid w:val="00B93460"/>
    <w:rsid w:val="00B95CBB"/>
    <w:rsid w:val="00B97674"/>
    <w:rsid w:val="00BA004E"/>
    <w:rsid w:val="00BA158B"/>
    <w:rsid w:val="00BA38F4"/>
    <w:rsid w:val="00BA6470"/>
    <w:rsid w:val="00BA6615"/>
    <w:rsid w:val="00BA7C96"/>
    <w:rsid w:val="00BB0724"/>
    <w:rsid w:val="00BB7661"/>
    <w:rsid w:val="00BC314C"/>
    <w:rsid w:val="00BC3B1C"/>
    <w:rsid w:val="00BC7C01"/>
    <w:rsid w:val="00BD0652"/>
    <w:rsid w:val="00BD12FD"/>
    <w:rsid w:val="00BD1360"/>
    <w:rsid w:val="00BD5ED5"/>
    <w:rsid w:val="00BD79E7"/>
    <w:rsid w:val="00BE3F41"/>
    <w:rsid w:val="00BE7D10"/>
    <w:rsid w:val="00BF00B3"/>
    <w:rsid w:val="00BF7363"/>
    <w:rsid w:val="00BF7787"/>
    <w:rsid w:val="00BF7F6F"/>
    <w:rsid w:val="00C06586"/>
    <w:rsid w:val="00C06774"/>
    <w:rsid w:val="00C072EB"/>
    <w:rsid w:val="00C16326"/>
    <w:rsid w:val="00C16865"/>
    <w:rsid w:val="00C16C6E"/>
    <w:rsid w:val="00C17F25"/>
    <w:rsid w:val="00C200AE"/>
    <w:rsid w:val="00C22568"/>
    <w:rsid w:val="00C30907"/>
    <w:rsid w:val="00C32DD4"/>
    <w:rsid w:val="00C33517"/>
    <w:rsid w:val="00C36D11"/>
    <w:rsid w:val="00C409AC"/>
    <w:rsid w:val="00C418AF"/>
    <w:rsid w:val="00C444B4"/>
    <w:rsid w:val="00C44B22"/>
    <w:rsid w:val="00C45866"/>
    <w:rsid w:val="00C459DB"/>
    <w:rsid w:val="00C45F20"/>
    <w:rsid w:val="00C5117C"/>
    <w:rsid w:val="00C5227D"/>
    <w:rsid w:val="00C53AA3"/>
    <w:rsid w:val="00C577F3"/>
    <w:rsid w:val="00C57E6E"/>
    <w:rsid w:val="00C60453"/>
    <w:rsid w:val="00C6431D"/>
    <w:rsid w:val="00C666DA"/>
    <w:rsid w:val="00C66FE4"/>
    <w:rsid w:val="00C731DF"/>
    <w:rsid w:val="00C82779"/>
    <w:rsid w:val="00C84FA5"/>
    <w:rsid w:val="00C8530D"/>
    <w:rsid w:val="00C85419"/>
    <w:rsid w:val="00C871D8"/>
    <w:rsid w:val="00C87234"/>
    <w:rsid w:val="00C92399"/>
    <w:rsid w:val="00C947EF"/>
    <w:rsid w:val="00CA0AA2"/>
    <w:rsid w:val="00CA31D6"/>
    <w:rsid w:val="00CA3DB9"/>
    <w:rsid w:val="00CA7056"/>
    <w:rsid w:val="00CA7389"/>
    <w:rsid w:val="00CB0256"/>
    <w:rsid w:val="00CB07A9"/>
    <w:rsid w:val="00CB1772"/>
    <w:rsid w:val="00CB186B"/>
    <w:rsid w:val="00CB238D"/>
    <w:rsid w:val="00CB2958"/>
    <w:rsid w:val="00CB58AD"/>
    <w:rsid w:val="00CB7EB8"/>
    <w:rsid w:val="00CC4FD7"/>
    <w:rsid w:val="00CD795E"/>
    <w:rsid w:val="00CE07A8"/>
    <w:rsid w:val="00CE6E42"/>
    <w:rsid w:val="00CE7EED"/>
    <w:rsid w:val="00CF207E"/>
    <w:rsid w:val="00CF2A23"/>
    <w:rsid w:val="00CF5C30"/>
    <w:rsid w:val="00CF73F0"/>
    <w:rsid w:val="00D002D4"/>
    <w:rsid w:val="00D00332"/>
    <w:rsid w:val="00D04B50"/>
    <w:rsid w:val="00D05635"/>
    <w:rsid w:val="00D124AD"/>
    <w:rsid w:val="00D147F0"/>
    <w:rsid w:val="00D169B4"/>
    <w:rsid w:val="00D31D49"/>
    <w:rsid w:val="00D333DA"/>
    <w:rsid w:val="00D3388C"/>
    <w:rsid w:val="00D3437E"/>
    <w:rsid w:val="00D42F73"/>
    <w:rsid w:val="00D43644"/>
    <w:rsid w:val="00D445EA"/>
    <w:rsid w:val="00D45411"/>
    <w:rsid w:val="00D46A76"/>
    <w:rsid w:val="00D46E39"/>
    <w:rsid w:val="00D522E2"/>
    <w:rsid w:val="00D55DFF"/>
    <w:rsid w:val="00D56BDE"/>
    <w:rsid w:val="00D57107"/>
    <w:rsid w:val="00D57F8A"/>
    <w:rsid w:val="00D60259"/>
    <w:rsid w:val="00D621CB"/>
    <w:rsid w:val="00D6456F"/>
    <w:rsid w:val="00D665B8"/>
    <w:rsid w:val="00D70F03"/>
    <w:rsid w:val="00D74306"/>
    <w:rsid w:val="00D7625F"/>
    <w:rsid w:val="00D80C44"/>
    <w:rsid w:val="00D820EA"/>
    <w:rsid w:val="00D84ACE"/>
    <w:rsid w:val="00D86279"/>
    <w:rsid w:val="00D86623"/>
    <w:rsid w:val="00D867B1"/>
    <w:rsid w:val="00D8680C"/>
    <w:rsid w:val="00D8712B"/>
    <w:rsid w:val="00D87715"/>
    <w:rsid w:val="00D918F7"/>
    <w:rsid w:val="00D974AC"/>
    <w:rsid w:val="00DA28C5"/>
    <w:rsid w:val="00DA6A80"/>
    <w:rsid w:val="00DA7694"/>
    <w:rsid w:val="00DB009A"/>
    <w:rsid w:val="00DB2594"/>
    <w:rsid w:val="00DC108B"/>
    <w:rsid w:val="00DC280D"/>
    <w:rsid w:val="00DC32E5"/>
    <w:rsid w:val="00DC79F1"/>
    <w:rsid w:val="00DD0BFC"/>
    <w:rsid w:val="00DD52AF"/>
    <w:rsid w:val="00DD6E2C"/>
    <w:rsid w:val="00DE208C"/>
    <w:rsid w:val="00DE24E1"/>
    <w:rsid w:val="00DE3F10"/>
    <w:rsid w:val="00DE5FD2"/>
    <w:rsid w:val="00DF1698"/>
    <w:rsid w:val="00DF25FC"/>
    <w:rsid w:val="00DF44D0"/>
    <w:rsid w:val="00DF627D"/>
    <w:rsid w:val="00E00225"/>
    <w:rsid w:val="00E004E4"/>
    <w:rsid w:val="00E043CD"/>
    <w:rsid w:val="00E047FA"/>
    <w:rsid w:val="00E05358"/>
    <w:rsid w:val="00E126C8"/>
    <w:rsid w:val="00E13CB0"/>
    <w:rsid w:val="00E148D0"/>
    <w:rsid w:val="00E16151"/>
    <w:rsid w:val="00E22CFA"/>
    <w:rsid w:val="00E23132"/>
    <w:rsid w:val="00E23EC8"/>
    <w:rsid w:val="00E263C4"/>
    <w:rsid w:val="00E26E5F"/>
    <w:rsid w:val="00E30B87"/>
    <w:rsid w:val="00E34B80"/>
    <w:rsid w:val="00E359D2"/>
    <w:rsid w:val="00E37B88"/>
    <w:rsid w:val="00E37EC0"/>
    <w:rsid w:val="00E4007B"/>
    <w:rsid w:val="00E444C3"/>
    <w:rsid w:val="00E45D5D"/>
    <w:rsid w:val="00E5134C"/>
    <w:rsid w:val="00E53266"/>
    <w:rsid w:val="00E532A3"/>
    <w:rsid w:val="00E53E85"/>
    <w:rsid w:val="00E54C9C"/>
    <w:rsid w:val="00E56B4A"/>
    <w:rsid w:val="00E57B48"/>
    <w:rsid w:val="00E635FA"/>
    <w:rsid w:val="00E7237C"/>
    <w:rsid w:val="00E744DC"/>
    <w:rsid w:val="00E74B6A"/>
    <w:rsid w:val="00E7558C"/>
    <w:rsid w:val="00E76E9B"/>
    <w:rsid w:val="00E80975"/>
    <w:rsid w:val="00E90C94"/>
    <w:rsid w:val="00E93073"/>
    <w:rsid w:val="00E959A5"/>
    <w:rsid w:val="00E97AC5"/>
    <w:rsid w:val="00EA0422"/>
    <w:rsid w:val="00EA0BF6"/>
    <w:rsid w:val="00EA3D83"/>
    <w:rsid w:val="00EA4704"/>
    <w:rsid w:val="00EA78DD"/>
    <w:rsid w:val="00EA7B25"/>
    <w:rsid w:val="00EB0983"/>
    <w:rsid w:val="00EB1C95"/>
    <w:rsid w:val="00EB66A2"/>
    <w:rsid w:val="00EB6D6D"/>
    <w:rsid w:val="00EB74E9"/>
    <w:rsid w:val="00EB7E87"/>
    <w:rsid w:val="00EB7FFC"/>
    <w:rsid w:val="00EC044D"/>
    <w:rsid w:val="00EC1DEB"/>
    <w:rsid w:val="00ED1D40"/>
    <w:rsid w:val="00ED52B6"/>
    <w:rsid w:val="00ED57CA"/>
    <w:rsid w:val="00EE0C48"/>
    <w:rsid w:val="00EE15B3"/>
    <w:rsid w:val="00EE27AD"/>
    <w:rsid w:val="00EE66B3"/>
    <w:rsid w:val="00EF020A"/>
    <w:rsid w:val="00EF522D"/>
    <w:rsid w:val="00EF63F0"/>
    <w:rsid w:val="00EF7481"/>
    <w:rsid w:val="00F033BD"/>
    <w:rsid w:val="00F0348A"/>
    <w:rsid w:val="00F05323"/>
    <w:rsid w:val="00F07923"/>
    <w:rsid w:val="00F110D8"/>
    <w:rsid w:val="00F11EB8"/>
    <w:rsid w:val="00F1486B"/>
    <w:rsid w:val="00F15842"/>
    <w:rsid w:val="00F2093B"/>
    <w:rsid w:val="00F21B9B"/>
    <w:rsid w:val="00F22ADF"/>
    <w:rsid w:val="00F2411D"/>
    <w:rsid w:val="00F24EAF"/>
    <w:rsid w:val="00F26285"/>
    <w:rsid w:val="00F3100A"/>
    <w:rsid w:val="00F364B8"/>
    <w:rsid w:val="00F4245C"/>
    <w:rsid w:val="00F4761F"/>
    <w:rsid w:val="00F63143"/>
    <w:rsid w:val="00F6344E"/>
    <w:rsid w:val="00F649B1"/>
    <w:rsid w:val="00F66644"/>
    <w:rsid w:val="00F67AFF"/>
    <w:rsid w:val="00F70761"/>
    <w:rsid w:val="00F77583"/>
    <w:rsid w:val="00F8123F"/>
    <w:rsid w:val="00F82B45"/>
    <w:rsid w:val="00F8378A"/>
    <w:rsid w:val="00F84749"/>
    <w:rsid w:val="00F84ADD"/>
    <w:rsid w:val="00F86BD1"/>
    <w:rsid w:val="00F91996"/>
    <w:rsid w:val="00F92BAB"/>
    <w:rsid w:val="00F933E9"/>
    <w:rsid w:val="00F97C31"/>
    <w:rsid w:val="00FA137D"/>
    <w:rsid w:val="00FA44B0"/>
    <w:rsid w:val="00FA5563"/>
    <w:rsid w:val="00FB450B"/>
    <w:rsid w:val="00FB5BCD"/>
    <w:rsid w:val="00FB5E36"/>
    <w:rsid w:val="00FB74BC"/>
    <w:rsid w:val="00FC491D"/>
    <w:rsid w:val="00FC6910"/>
    <w:rsid w:val="00FC6921"/>
    <w:rsid w:val="00FC6D79"/>
    <w:rsid w:val="00FD3964"/>
    <w:rsid w:val="00FD39D8"/>
    <w:rsid w:val="00FE164A"/>
    <w:rsid w:val="00FE27F1"/>
    <w:rsid w:val="00FE2C1B"/>
    <w:rsid w:val="00FE33D1"/>
    <w:rsid w:val="00FE5DBC"/>
    <w:rsid w:val="00FE6CDE"/>
    <w:rsid w:val="00FE76BB"/>
    <w:rsid w:val="00FF08BE"/>
    <w:rsid w:val="00FF3487"/>
    <w:rsid w:val="00FF5E0D"/>
    <w:rsid w:val="00FF66BF"/>
    <w:rsid w:val="00FF7743"/>
    <w:rsid w:val="015A6F93"/>
    <w:rsid w:val="01631811"/>
    <w:rsid w:val="016B4564"/>
    <w:rsid w:val="017D5D1D"/>
    <w:rsid w:val="01BA74D8"/>
    <w:rsid w:val="01CB690C"/>
    <w:rsid w:val="01E31066"/>
    <w:rsid w:val="021109D2"/>
    <w:rsid w:val="021676D0"/>
    <w:rsid w:val="02393086"/>
    <w:rsid w:val="02434D0E"/>
    <w:rsid w:val="02D600F2"/>
    <w:rsid w:val="0325082C"/>
    <w:rsid w:val="03593878"/>
    <w:rsid w:val="04110DB9"/>
    <w:rsid w:val="05002E02"/>
    <w:rsid w:val="05CB5824"/>
    <w:rsid w:val="05CC1B46"/>
    <w:rsid w:val="05FA0329"/>
    <w:rsid w:val="066029FF"/>
    <w:rsid w:val="067052C3"/>
    <w:rsid w:val="06792186"/>
    <w:rsid w:val="06C05DF1"/>
    <w:rsid w:val="06FE791D"/>
    <w:rsid w:val="07881F05"/>
    <w:rsid w:val="07EE0062"/>
    <w:rsid w:val="082B3897"/>
    <w:rsid w:val="089F16FF"/>
    <w:rsid w:val="08B839A7"/>
    <w:rsid w:val="08B8664E"/>
    <w:rsid w:val="0989435F"/>
    <w:rsid w:val="099519C5"/>
    <w:rsid w:val="09D74EA7"/>
    <w:rsid w:val="09EC4264"/>
    <w:rsid w:val="0A810267"/>
    <w:rsid w:val="0A923799"/>
    <w:rsid w:val="0B27191F"/>
    <w:rsid w:val="0B7F45B1"/>
    <w:rsid w:val="0BDC0583"/>
    <w:rsid w:val="0C226789"/>
    <w:rsid w:val="0D443BAB"/>
    <w:rsid w:val="0D9C44AE"/>
    <w:rsid w:val="0DBA68EF"/>
    <w:rsid w:val="0E0E6E05"/>
    <w:rsid w:val="0E2A3C7E"/>
    <w:rsid w:val="0E667322"/>
    <w:rsid w:val="0F214A6A"/>
    <w:rsid w:val="100E3D96"/>
    <w:rsid w:val="106C344B"/>
    <w:rsid w:val="113E4FD1"/>
    <w:rsid w:val="11825DED"/>
    <w:rsid w:val="125E79A5"/>
    <w:rsid w:val="12D81B42"/>
    <w:rsid w:val="12DE5484"/>
    <w:rsid w:val="131411C8"/>
    <w:rsid w:val="13450C83"/>
    <w:rsid w:val="13B10BF5"/>
    <w:rsid w:val="14406889"/>
    <w:rsid w:val="147A4BEB"/>
    <w:rsid w:val="15456944"/>
    <w:rsid w:val="156D2EA8"/>
    <w:rsid w:val="157C7502"/>
    <w:rsid w:val="15B02301"/>
    <w:rsid w:val="15E41A8B"/>
    <w:rsid w:val="15EB6FD8"/>
    <w:rsid w:val="1655132F"/>
    <w:rsid w:val="16D020A6"/>
    <w:rsid w:val="1732296F"/>
    <w:rsid w:val="17460378"/>
    <w:rsid w:val="17A41189"/>
    <w:rsid w:val="180745E2"/>
    <w:rsid w:val="18251935"/>
    <w:rsid w:val="182E23CB"/>
    <w:rsid w:val="191205F4"/>
    <w:rsid w:val="19554F65"/>
    <w:rsid w:val="19EB0032"/>
    <w:rsid w:val="1A4B726F"/>
    <w:rsid w:val="1A9E051C"/>
    <w:rsid w:val="1AD52847"/>
    <w:rsid w:val="1B612CA8"/>
    <w:rsid w:val="1B775051"/>
    <w:rsid w:val="1C6063F2"/>
    <w:rsid w:val="1C9D0878"/>
    <w:rsid w:val="1CC92774"/>
    <w:rsid w:val="1D360CAF"/>
    <w:rsid w:val="1E6C23CF"/>
    <w:rsid w:val="1EBD2004"/>
    <w:rsid w:val="1F42768A"/>
    <w:rsid w:val="1FD32CA9"/>
    <w:rsid w:val="205B2F0B"/>
    <w:rsid w:val="20973E85"/>
    <w:rsid w:val="20992B53"/>
    <w:rsid w:val="20B432FA"/>
    <w:rsid w:val="21A11615"/>
    <w:rsid w:val="224E56D6"/>
    <w:rsid w:val="225C3A60"/>
    <w:rsid w:val="22A32749"/>
    <w:rsid w:val="22FC1BC3"/>
    <w:rsid w:val="2319638A"/>
    <w:rsid w:val="23BC403F"/>
    <w:rsid w:val="243D4092"/>
    <w:rsid w:val="24462735"/>
    <w:rsid w:val="246A2CE6"/>
    <w:rsid w:val="246A50D2"/>
    <w:rsid w:val="248A4409"/>
    <w:rsid w:val="248E11D6"/>
    <w:rsid w:val="24B9159D"/>
    <w:rsid w:val="24CB5C4B"/>
    <w:rsid w:val="24DC6D40"/>
    <w:rsid w:val="24E923FB"/>
    <w:rsid w:val="2531293C"/>
    <w:rsid w:val="253B219B"/>
    <w:rsid w:val="25BA3BC1"/>
    <w:rsid w:val="267A78F3"/>
    <w:rsid w:val="26957A51"/>
    <w:rsid w:val="26B96E8C"/>
    <w:rsid w:val="26C045D6"/>
    <w:rsid w:val="26F249ED"/>
    <w:rsid w:val="27103351"/>
    <w:rsid w:val="273D4781"/>
    <w:rsid w:val="279B185A"/>
    <w:rsid w:val="27B4468E"/>
    <w:rsid w:val="27DA0463"/>
    <w:rsid w:val="28707469"/>
    <w:rsid w:val="28783A2B"/>
    <w:rsid w:val="289A394D"/>
    <w:rsid w:val="29B1262B"/>
    <w:rsid w:val="29CB75C2"/>
    <w:rsid w:val="2A7549B2"/>
    <w:rsid w:val="2A845833"/>
    <w:rsid w:val="2A857540"/>
    <w:rsid w:val="2AF64365"/>
    <w:rsid w:val="2B524768"/>
    <w:rsid w:val="2BB403F8"/>
    <w:rsid w:val="2BB61599"/>
    <w:rsid w:val="2C190935"/>
    <w:rsid w:val="2CB55F40"/>
    <w:rsid w:val="2CC8228F"/>
    <w:rsid w:val="2D107C7C"/>
    <w:rsid w:val="2D5B6328"/>
    <w:rsid w:val="2DBF3188"/>
    <w:rsid w:val="2DF930BE"/>
    <w:rsid w:val="2E572921"/>
    <w:rsid w:val="2E9314EA"/>
    <w:rsid w:val="2EAA08AC"/>
    <w:rsid w:val="2EC7754C"/>
    <w:rsid w:val="2ED8239F"/>
    <w:rsid w:val="2EE319E3"/>
    <w:rsid w:val="2EF276B0"/>
    <w:rsid w:val="2F17378B"/>
    <w:rsid w:val="2F24385E"/>
    <w:rsid w:val="2FE61678"/>
    <w:rsid w:val="2FED7838"/>
    <w:rsid w:val="30123428"/>
    <w:rsid w:val="301D2010"/>
    <w:rsid w:val="303210DF"/>
    <w:rsid w:val="30CA599B"/>
    <w:rsid w:val="31320D46"/>
    <w:rsid w:val="314766FF"/>
    <w:rsid w:val="31A42500"/>
    <w:rsid w:val="31F2060C"/>
    <w:rsid w:val="3246124C"/>
    <w:rsid w:val="325B360B"/>
    <w:rsid w:val="32644E19"/>
    <w:rsid w:val="329216BA"/>
    <w:rsid w:val="32B47692"/>
    <w:rsid w:val="32FA04F7"/>
    <w:rsid w:val="33255262"/>
    <w:rsid w:val="33740415"/>
    <w:rsid w:val="33D87A78"/>
    <w:rsid w:val="348F7A8A"/>
    <w:rsid w:val="349959E0"/>
    <w:rsid w:val="34A77E97"/>
    <w:rsid w:val="35090DA4"/>
    <w:rsid w:val="354D46FF"/>
    <w:rsid w:val="35505F84"/>
    <w:rsid w:val="35A770DC"/>
    <w:rsid w:val="367C29A6"/>
    <w:rsid w:val="367E61AB"/>
    <w:rsid w:val="370D66EC"/>
    <w:rsid w:val="378965BC"/>
    <w:rsid w:val="37900A99"/>
    <w:rsid w:val="38137357"/>
    <w:rsid w:val="39266FA3"/>
    <w:rsid w:val="39E87C74"/>
    <w:rsid w:val="3A8A3AFC"/>
    <w:rsid w:val="3AF67755"/>
    <w:rsid w:val="3AFD663D"/>
    <w:rsid w:val="3B227CE0"/>
    <w:rsid w:val="3B9351A4"/>
    <w:rsid w:val="3BFD3687"/>
    <w:rsid w:val="3C331B7E"/>
    <w:rsid w:val="3C87245E"/>
    <w:rsid w:val="3CF322FA"/>
    <w:rsid w:val="3CF645B8"/>
    <w:rsid w:val="3D213B64"/>
    <w:rsid w:val="3D30303B"/>
    <w:rsid w:val="3D521780"/>
    <w:rsid w:val="3DA73215"/>
    <w:rsid w:val="3E0B0606"/>
    <w:rsid w:val="3E1165E7"/>
    <w:rsid w:val="3E1C043D"/>
    <w:rsid w:val="3E2210F2"/>
    <w:rsid w:val="3EAA7F1E"/>
    <w:rsid w:val="3F074ECE"/>
    <w:rsid w:val="3FDE2BA4"/>
    <w:rsid w:val="40303DA2"/>
    <w:rsid w:val="403676F7"/>
    <w:rsid w:val="405538D8"/>
    <w:rsid w:val="409916B0"/>
    <w:rsid w:val="414807F5"/>
    <w:rsid w:val="41B759A0"/>
    <w:rsid w:val="41BB2DBC"/>
    <w:rsid w:val="41D33C23"/>
    <w:rsid w:val="42026256"/>
    <w:rsid w:val="420550FD"/>
    <w:rsid w:val="42B821D9"/>
    <w:rsid w:val="43011D9C"/>
    <w:rsid w:val="430A7825"/>
    <w:rsid w:val="435F03EA"/>
    <w:rsid w:val="438A703E"/>
    <w:rsid w:val="438D1E23"/>
    <w:rsid w:val="438F5C4E"/>
    <w:rsid w:val="43E475D2"/>
    <w:rsid w:val="442E2712"/>
    <w:rsid w:val="44935D5D"/>
    <w:rsid w:val="44E225E4"/>
    <w:rsid w:val="44F177BB"/>
    <w:rsid w:val="450E50EF"/>
    <w:rsid w:val="454A3784"/>
    <w:rsid w:val="45BA1E50"/>
    <w:rsid w:val="460803CA"/>
    <w:rsid w:val="461E6EA1"/>
    <w:rsid w:val="46FB4357"/>
    <w:rsid w:val="474C31B0"/>
    <w:rsid w:val="4756552D"/>
    <w:rsid w:val="477A0B83"/>
    <w:rsid w:val="479424BE"/>
    <w:rsid w:val="47C801F3"/>
    <w:rsid w:val="480F4D71"/>
    <w:rsid w:val="480F7BBB"/>
    <w:rsid w:val="489F2E98"/>
    <w:rsid w:val="48DC0829"/>
    <w:rsid w:val="497E71F5"/>
    <w:rsid w:val="49AF6D7A"/>
    <w:rsid w:val="49C80B37"/>
    <w:rsid w:val="4A155DAC"/>
    <w:rsid w:val="4A401B20"/>
    <w:rsid w:val="4A5428AD"/>
    <w:rsid w:val="4A8F4687"/>
    <w:rsid w:val="4ACB5CBA"/>
    <w:rsid w:val="4AF126B2"/>
    <w:rsid w:val="4B037AE3"/>
    <w:rsid w:val="4B6B1C3C"/>
    <w:rsid w:val="4B7D6C6B"/>
    <w:rsid w:val="4B843F2F"/>
    <w:rsid w:val="4B845D1A"/>
    <w:rsid w:val="4BDA2328"/>
    <w:rsid w:val="4BF065A9"/>
    <w:rsid w:val="4BF15B67"/>
    <w:rsid w:val="4BF420C4"/>
    <w:rsid w:val="4C427AFB"/>
    <w:rsid w:val="4CC57D42"/>
    <w:rsid w:val="4CE8310B"/>
    <w:rsid w:val="4CEF5C02"/>
    <w:rsid w:val="4E097D6A"/>
    <w:rsid w:val="4E0D2655"/>
    <w:rsid w:val="4E261909"/>
    <w:rsid w:val="4E504678"/>
    <w:rsid w:val="4E6F329C"/>
    <w:rsid w:val="4EFE64C0"/>
    <w:rsid w:val="4F411BBA"/>
    <w:rsid w:val="4F536B6B"/>
    <w:rsid w:val="4F54456E"/>
    <w:rsid w:val="4FD166E3"/>
    <w:rsid w:val="4FEF68FA"/>
    <w:rsid w:val="505515C5"/>
    <w:rsid w:val="50702D9C"/>
    <w:rsid w:val="50B916C7"/>
    <w:rsid w:val="50FF4407"/>
    <w:rsid w:val="51745E20"/>
    <w:rsid w:val="51FE26DF"/>
    <w:rsid w:val="520C1E57"/>
    <w:rsid w:val="52195388"/>
    <w:rsid w:val="52397510"/>
    <w:rsid w:val="52791307"/>
    <w:rsid w:val="53406C4D"/>
    <w:rsid w:val="53EB36B9"/>
    <w:rsid w:val="54112A79"/>
    <w:rsid w:val="542A263F"/>
    <w:rsid w:val="54380581"/>
    <w:rsid w:val="54507C68"/>
    <w:rsid w:val="54C51CC0"/>
    <w:rsid w:val="56253A74"/>
    <w:rsid w:val="56A93C33"/>
    <w:rsid w:val="56BC33D0"/>
    <w:rsid w:val="56C24209"/>
    <w:rsid w:val="5787728B"/>
    <w:rsid w:val="579C7C04"/>
    <w:rsid w:val="58DA373C"/>
    <w:rsid w:val="597E615D"/>
    <w:rsid w:val="59946F54"/>
    <w:rsid w:val="59AD7841"/>
    <w:rsid w:val="5A7519D9"/>
    <w:rsid w:val="5A9A5EF1"/>
    <w:rsid w:val="5B316879"/>
    <w:rsid w:val="5B3A3429"/>
    <w:rsid w:val="5B555417"/>
    <w:rsid w:val="5BBB1719"/>
    <w:rsid w:val="5BE169EA"/>
    <w:rsid w:val="5C103128"/>
    <w:rsid w:val="5C115746"/>
    <w:rsid w:val="5C2A197C"/>
    <w:rsid w:val="5C547EF4"/>
    <w:rsid w:val="5C5B595B"/>
    <w:rsid w:val="5C645D43"/>
    <w:rsid w:val="5C9169E7"/>
    <w:rsid w:val="5CE56EBA"/>
    <w:rsid w:val="5D377108"/>
    <w:rsid w:val="5D667EE0"/>
    <w:rsid w:val="5D6928D6"/>
    <w:rsid w:val="5DE93924"/>
    <w:rsid w:val="5DFE43DB"/>
    <w:rsid w:val="5E1C49BE"/>
    <w:rsid w:val="5E6E7D32"/>
    <w:rsid w:val="5E8715BD"/>
    <w:rsid w:val="5E887797"/>
    <w:rsid w:val="5E8A0EAE"/>
    <w:rsid w:val="5EB8787F"/>
    <w:rsid w:val="5ED14643"/>
    <w:rsid w:val="5EE777FB"/>
    <w:rsid w:val="5F0E4D36"/>
    <w:rsid w:val="5F152912"/>
    <w:rsid w:val="5F181EF2"/>
    <w:rsid w:val="5F1940ED"/>
    <w:rsid w:val="5F22751C"/>
    <w:rsid w:val="5F7D1D84"/>
    <w:rsid w:val="5FC14860"/>
    <w:rsid w:val="602C1F09"/>
    <w:rsid w:val="6191444E"/>
    <w:rsid w:val="61B5526B"/>
    <w:rsid w:val="61E72CA7"/>
    <w:rsid w:val="62155D8B"/>
    <w:rsid w:val="621C0E48"/>
    <w:rsid w:val="628E007E"/>
    <w:rsid w:val="62B16015"/>
    <w:rsid w:val="64270182"/>
    <w:rsid w:val="6436778B"/>
    <w:rsid w:val="643959F4"/>
    <w:rsid w:val="644C1108"/>
    <w:rsid w:val="64CC5057"/>
    <w:rsid w:val="65727950"/>
    <w:rsid w:val="666A5CB3"/>
    <w:rsid w:val="6707259A"/>
    <w:rsid w:val="67473BCD"/>
    <w:rsid w:val="679A4842"/>
    <w:rsid w:val="679D7186"/>
    <w:rsid w:val="68114B02"/>
    <w:rsid w:val="68481FA7"/>
    <w:rsid w:val="685130C4"/>
    <w:rsid w:val="6886211E"/>
    <w:rsid w:val="68BA2FF5"/>
    <w:rsid w:val="68F10066"/>
    <w:rsid w:val="690112B0"/>
    <w:rsid w:val="69F24F65"/>
    <w:rsid w:val="69F7775E"/>
    <w:rsid w:val="6AA073FE"/>
    <w:rsid w:val="6AEE477E"/>
    <w:rsid w:val="6B123804"/>
    <w:rsid w:val="6B346B3C"/>
    <w:rsid w:val="6B796D6D"/>
    <w:rsid w:val="6B8F48E2"/>
    <w:rsid w:val="6CB66E07"/>
    <w:rsid w:val="6D232FC7"/>
    <w:rsid w:val="6D473D35"/>
    <w:rsid w:val="6D4B2DA2"/>
    <w:rsid w:val="6D57021E"/>
    <w:rsid w:val="6D9F4484"/>
    <w:rsid w:val="6DC76019"/>
    <w:rsid w:val="6DFB78FF"/>
    <w:rsid w:val="6E080043"/>
    <w:rsid w:val="6E2F2B95"/>
    <w:rsid w:val="6E9A17F6"/>
    <w:rsid w:val="6EB94B54"/>
    <w:rsid w:val="6ED450D8"/>
    <w:rsid w:val="6EDB0079"/>
    <w:rsid w:val="6F4B06FB"/>
    <w:rsid w:val="6FE55E54"/>
    <w:rsid w:val="6FF74116"/>
    <w:rsid w:val="70066985"/>
    <w:rsid w:val="70540B5F"/>
    <w:rsid w:val="70FA08E1"/>
    <w:rsid w:val="71087CF5"/>
    <w:rsid w:val="71651CBE"/>
    <w:rsid w:val="7199399F"/>
    <w:rsid w:val="71AC6215"/>
    <w:rsid w:val="71B13283"/>
    <w:rsid w:val="71B72FEA"/>
    <w:rsid w:val="71E92AD2"/>
    <w:rsid w:val="721063EE"/>
    <w:rsid w:val="729062A4"/>
    <w:rsid w:val="72CC56A1"/>
    <w:rsid w:val="733A006A"/>
    <w:rsid w:val="73D025E2"/>
    <w:rsid w:val="7404335D"/>
    <w:rsid w:val="741B0F3E"/>
    <w:rsid w:val="741C47C4"/>
    <w:rsid w:val="74D015AD"/>
    <w:rsid w:val="74F80271"/>
    <w:rsid w:val="75870428"/>
    <w:rsid w:val="75B05941"/>
    <w:rsid w:val="75E51AE4"/>
    <w:rsid w:val="762533B9"/>
    <w:rsid w:val="76735302"/>
    <w:rsid w:val="76CC1CFD"/>
    <w:rsid w:val="772B28DC"/>
    <w:rsid w:val="77507BF9"/>
    <w:rsid w:val="77744D06"/>
    <w:rsid w:val="77A653E7"/>
    <w:rsid w:val="77B64384"/>
    <w:rsid w:val="77F56B9B"/>
    <w:rsid w:val="78D60D52"/>
    <w:rsid w:val="79390061"/>
    <w:rsid w:val="798E0BAC"/>
    <w:rsid w:val="79B46489"/>
    <w:rsid w:val="7A350AE6"/>
    <w:rsid w:val="7A9529ED"/>
    <w:rsid w:val="7AE1084A"/>
    <w:rsid w:val="7B9B5741"/>
    <w:rsid w:val="7BDD376B"/>
    <w:rsid w:val="7C445025"/>
    <w:rsid w:val="7C4763DB"/>
    <w:rsid w:val="7C747DBF"/>
    <w:rsid w:val="7CCA646D"/>
    <w:rsid w:val="7CFE6BD8"/>
    <w:rsid w:val="7D664EE4"/>
    <w:rsid w:val="7D706F8B"/>
    <w:rsid w:val="7D9019BD"/>
    <w:rsid w:val="7DAF3942"/>
    <w:rsid w:val="7DDF4E43"/>
    <w:rsid w:val="7DEB7124"/>
    <w:rsid w:val="7E0C76F2"/>
    <w:rsid w:val="7E675B98"/>
    <w:rsid w:val="7ED7197F"/>
    <w:rsid w:val="7F1D17B1"/>
    <w:rsid w:val="7F4D40CB"/>
    <w:rsid w:val="7FCF228C"/>
    <w:rsid w:val="7FE920B8"/>
    <w:rsid w:val="F4DBBA2E"/>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rules v:ext="edit">
        <o:r id="V:Rule1" type="connector" idref="#_x0000_s2050"/>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iPriority="39" w:semiHidden="0" w:name="toc 1" w:locked="1"/>
    <w:lsdException w:qFormat="1" w:uiPriority="39" w:semiHidden="0" w:name="toc 2" w:locked="1"/>
    <w:lsdException w:qFormat="1" w:uiPriority="39" w:semiHidden="0"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99" w:semiHidden="0" w:name="Normal Indent"/>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qFormat="1" w:unhideWhenUsed="0" w:uiPriority="0" w:semiHidden="0"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qFormat="1" w:unhideWhenUsed="0" w:uiPriority="99" w:semiHidden="0" w:name="List"/>
    <w:lsdException w:uiPriority="99" w:name="List Bullet" w:locked="1"/>
    <w:lsdException w:uiPriority="99" w:name="List Number" w:locked="1"/>
    <w:lsdException w:qFormat="1" w:unhideWhenUsed="0" w:uiPriority="99" w:semiHidden="0" w:name="List 2"/>
    <w:lsdException w:qFormat="1" w:unhideWhenUsed="0" w:uiPriority="99" w:semiHidden="0" w:name="List 3"/>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semiHidden="0"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qFormat="1" w:unhideWhenUsed="0" w:uiPriority="0" w:semiHidden="0" w:name="Message Header" w:locked="1"/>
    <w:lsdException w:qFormat="1" w:unhideWhenUsed="0" w:uiPriority="11" w:semiHidden="0" w:name="Subtitle" w:locked="1"/>
    <w:lsdException w:uiPriority="99" w:name="Salutation" w:locked="1"/>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99" w:name="Note Heading" w:locked="1"/>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ocked="1"/>
    <w:lsdException w:qFormat="1" w:unhideWhenUsed="0" w:uiPriority="99" w:name="Document Map"/>
    <w:lsdException w:qFormat="1" w:unhideWhenUsed="0" w:uiPriority="0"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6">
    <w:name w:val="heading 1"/>
    <w:basedOn w:val="1"/>
    <w:next w:val="1"/>
    <w:link w:val="50"/>
    <w:qFormat/>
    <w:uiPriority w:val="0"/>
    <w:pPr>
      <w:keepNext/>
      <w:jc w:val="center"/>
      <w:outlineLvl w:val="0"/>
    </w:pPr>
    <w:rPr>
      <w:rFonts w:ascii="KaiTi_GB2312" w:eastAsia="KaiTi_GB2312"/>
      <w:sz w:val="28"/>
      <w:szCs w:val="28"/>
    </w:rPr>
  </w:style>
  <w:style w:type="paragraph" w:styleId="7">
    <w:name w:val="heading 2"/>
    <w:basedOn w:val="1"/>
    <w:next w:val="8"/>
    <w:link w:val="51"/>
    <w:qFormat/>
    <w:uiPriority w:val="0"/>
    <w:pPr>
      <w:keepNext/>
      <w:keepLines/>
      <w:spacing w:before="260" w:after="260" w:line="416" w:lineRule="auto"/>
      <w:jc w:val="center"/>
      <w:outlineLvl w:val="1"/>
    </w:pPr>
    <w:rPr>
      <w:rFonts w:ascii="Arial" w:hAnsi="Arial" w:eastAsia="幼圆" w:cs="Arial"/>
      <w:b/>
      <w:bCs/>
      <w:sz w:val="44"/>
      <w:szCs w:val="44"/>
    </w:rPr>
  </w:style>
  <w:style w:type="paragraph" w:styleId="9">
    <w:name w:val="heading 3"/>
    <w:basedOn w:val="1"/>
    <w:next w:val="1"/>
    <w:link w:val="52"/>
    <w:qFormat/>
    <w:uiPriority w:val="99"/>
    <w:pPr>
      <w:keepNext/>
      <w:keepLines/>
      <w:spacing w:before="260" w:after="260" w:line="416" w:lineRule="auto"/>
      <w:outlineLvl w:val="2"/>
    </w:pPr>
    <w:rPr>
      <w:b/>
      <w:bCs/>
      <w:sz w:val="32"/>
      <w:szCs w:val="32"/>
    </w:rPr>
  </w:style>
  <w:style w:type="paragraph" w:styleId="10">
    <w:name w:val="heading 4"/>
    <w:basedOn w:val="1"/>
    <w:next w:val="8"/>
    <w:link w:val="53"/>
    <w:qFormat/>
    <w:uiPriority w:val="99"/>
    <w:pPr>
      <w:keepNext/>
      <w:keepLines/>
      <w:spacing w:before="280" w:after="290" w:line="376" w:lineRule="auto"/>
      <w:outlineLvl w:val="3"/>
    </w:pPr>
    <w:rPr>
      <w:rFonts w:ascii="Arial" w:hAnsi="Arial" w:eastAsia="黑体" w:cs="Arial"/>
      <w:b/>
      <w:bCs/>
      <w:sz w:val="28"/>
      <w:szCs w:val="28"/>
    </w:rPr>
  </w:style>
  <w:style w:type="paragraph" w:styleId="11">
    <w:name w:val="heading 5"/>
    <w:basedOn w:val="1"/>
    <w:next w:val="8"/>
    <w:link w:val="54"/>
    <w:qFormat/>
    <w:uiPriority w:val="99"/>
    <w:pPr>
      <w:keepNext/>
      <w:autoSpaceDE w:val="0"/>
      <w:autoSpaceDN w:val="0"/>
      <w:adjustRightInd w:val="0"/>
      <w:outlineLvl w:val="4"/>
    </w:pPr>
    <w:rPr>
      <w:rFonts w:ascii="宋体"/>
      <w:color w:val="000000"/>
      <w:kern w:val="0"/>
      <w:sz w:val="28"/>
      <w:szCs w:val="28"/>
    </w:rPr>
  </w:style>
  <w:style w:type="paragraph" w:styleId="12">
    <w:name w:val="heading 6"/>
    <w:basedOn w:val="1"/>
    <w:next w:val="1"/>
    <w:link w:val="55"/>
    <w:qFormat/>
    <w:uiPriority w:val="99"/>
    <w:pPr>
      <w:keepNext/>
      <w:keepLines/>
      <w:numPr>
        <w:ilvl w:val="5"/>
        <w:numId w:val="1"/>
      </w:numPr>
      <w:spacing w:before="240" w:after="64" w:line="320" w:lineRule="auto"/>
      <w:outlineLvl w:val="5"/>
    </w:pPr>
    <w:rPr>
      <w:rFonts w:ascii="Arial" w:hAnsi="Arial" w:eastAsia="黑体"/>
      <w:b/>
      <w:bCs/>
      <w:sz w:val="24"/>
      <w:szCs w:val="24"/>
    </w:rPr>
  </w:style>
  <w:style w:type="paragraph" w:styleId="13">
    <w:name w:val="heading 7"/>
    <w:basedOn w:val="1"/>
    <w:next w:val="1"/>
    <w:link w:val="56"/>
    <w:qFormat/>
    <w:uiPriority w:val="99"/>
    <w:pPr>
      <w:keepNext/>
      <w:keepLines/>
      <w:numPr>
        <w:ilvl w:val="6"/>
        <w:numId w:val="1"/>
      </w:numPr>
      <w:spacing w:before="240" w:after="64" w:line="320" w:lineRule="auto"/>
      <w:outlineLvl w:val="6"/>
    </w:pPr>
    <w:rPr>
      <w:b/>
      <w:bCs/>
      <w:sz w:val="24"/>
      <w:szCs w:val="24"/>
    </w:rPr>
  </w:style>
  <w:style w:type="paragraph" w:styleId="14">
    <w:name w:val="heading 8"/>
    <w:basedOn w:val="1"/>
    <w:next w:val="1"/>
    <w:link w:val="57"/>
    <w:qFormat/>
    <w:uiPriority w:val="99"/>
    <w:pPr>
      <w:keepNext/>
      <w:keepLines/>
      <w:numPr>
        <w:ilvl w:val="7"/>
        <w:numId w:val="1"/>
      </w:numPr>
      <w:spacing w:before="240" w:after="64" w:line="320" w:lineRule="auto"/>
      <w:outlineLvl w:val="7"/>
    </w:pPr>
    <w:rPr>
      <w:rFonts w:ascii="Arial" w:hAnsi="Arial" w:eastAsia="黑体"/>
      <w:sz w:val="24"/>
      <w:szCs w:val="24"/>
    </w:rPr>
  </w:style>
  <w:style w:type="paragraph" w:styleId="15">
    <w:name w:val="heading 9"/>
    <w:basedOn w:val="1"/>
    <w:next w:val="1"/>
    <w:link w:val="58"/>
    <w:qFormat/>
    <w:uiPriority w:val="99"/>
    <w:pPr>
      <w:keepNext/>
      <w:keepLines/>
      <w:numPr>
        <w:ilvl w:val="8"/>
        <w:numId w:val="1"/>
      </w:numPr>
      <w:spacing w:before="240" w:after="64" w:line="320" w:lineRule="auto"/>
      <w:outlineLvl w:val="8"/>
    </w:pPr>
    <w:rPr>
      <w:rFonts w:ascii="Arial" w:hAnsi="Arial" w:eastAsia="黑体"/>
    </w:rPr>
  </w:style>
  <w:style w:type="character" w:default="1" w:styleId="42">
    <w:name w:val="Default Paragraph Font"/>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61"/>
    <w:qFormat/>
    <w:uiPriority w:val="99"/>
    <w:rPr>
      <w:rFonts w:ascii="KaiTi_GB2312" w:hAnsi="Arial" w:eastAsia="KaiTi_GB2312"/>
      <w:sz w:val="28"/>
      <w:szCs w:val="28"/>
    </w:rPr>
  </w:style>
  <w:style w:type="paragraph" w:customStyle="1" w:styleId="3">
    <w:name w:val="一级条标题"/>
    <w:basedOn w:val="4"/>
    <w:next w:val="5"/>
    <w:qFormat/>
    <w:uiPriority w:val="0"/>
    <w:pPr>
      <w:tabs>
        <w:tab w:val="left" w:pos="810"/>
        <w:tab w:val="left" w:pos="907"/>
        <w:tab w:val="left" w:pos="1265"/>
      </w:tabs>
      <w:spacing w:before="0" w:after="0"/>
      <w:ind w:left="907" w:hanging="907"/>
      <w:outlineLvl w:val="2"/>
    </w:pPr>
    <w:rPr>
      <w:rFonts w:hAnsi="宋体"/>
      <w:kern w:val="0"/>
      <w:sz w:val="20"/>
      <w:szCs w:val="20"/>
    </w:rPr>
  </w:style>
  <w:style w:type="paragraph" w:customStyle="1" w:styleId="4">
    <w:name w:val="章标题"/>
    <w:next w:val="1"/>
    <w:qFormat/>
    <w:uiPriority w:val="0"/>
    <w:pPr>
      <w:tabs>
        <w:tab w:val="left" w:pos="810"/>
        <w:tab w:val="left" w:pos="1265"/>
      </w:tabs>
      <w:spacing w:before="50" w:after="50"/>
      <w:ind w:left="810" w:hanging="810"/>
      <w:jc w:val="both"/>
      <w:outlineLvl w:val="1"/>
    </w:pPr>
    <w:rPr>
      <w:rFonts w:ascii="黑体" w:hAnsi="Calibri" w:eastAsia="黑体" w:cs="宋体"/>
      <w:kern w:val="2"/>
      <w:sz w:val="21"/>
      <w:szCs w:val="22"/>
      <w:lang w:val="en-US" w:eastAsia="zh-CN" w:bidi="ar-SA"/>
    </w:rPr>
  </w:style>
  <w:style w:type="paragraph" w:customStyle="1" w:styleId="5">
    <w:name w:val="段"/>
    <w:next w:val="1"/>
    <w:qFormat/>
    <w:uiPriority w:val="0"/>
    <w:pPr>
      <w:widowControl w:val="0"/>
      <w:ind w:firstLine="200"/>
      <w:jc w:val="both"/>
    </w:pPr>
    <w:rPr>
      <w:rFonts w:ascii="宋体" w:hAnsi="宋体" w:eastAsia="宋体" w:cs="宋体"/>
      <w:color w:val="000000"/>
      <w:sz w:val="21"/>
      <w:szCs w:val="21"/>
      <w:lang w:val="en-US" w:eastAsia="zh-CN" w:bidi="ar-SA"/>
    </w:rPr>
  </w:style>
  <w:style w:type="paragraph" w:styleId="8">
    <w:name w:val="Normal Indent"/>
    <w:basedOn w:val="1"/>
    <w:link w:val="75"/>
    <w:qFormat/>
    <w:uiPriority w:val="99"/>
    <w:pPr>
      <w:ind w:firstLine="420"/>
    </w:pPr>
    <w:rPr>
      <w:kern w:val="0"/>
      <w:szCs w:val="20"/>
    </w:rPr>
  </w:style>
  <w:style w:type="paragraph" w:styleId="16">
    <w:name w:val="List 3"/>
    <w:basedOn w:val="1"/>
    <w:qFormat/>
    <w:uiPriority w:val="99"/>
    <w:pPr>
      <w:ind w:left="100" w:leftChars="400" w:hanging="200" w:hangingChars="200"/>
    </w:pPr>
  </w:style>
  <w:style w:type="paragraph" w:styleId="17">
    <w:name w:val="Document Map"/>
    <w:basedOn w:val="1"/>
    <w:link w:val="63"/>
    <w:semiHidden/>
    <w:qFormat/>
    <w:uiPriority w:val="99"/>
    <w:pPr>
      <w:shd w:val="clear" w:color="auto" w:fill="000080"/>
    </w:pPr>
  </w:style>
  <w:style w:type="paragraph" w:styleId="18">
    <w:name w:val="annotation text"/>
    <w:basedOn w:val="1"/>
    <w:link w:val="96"/>
    <w:semiHidden/>
    <w:qFormat/>
    <w:uiPriority w:val="99"/>
    <w:pPr>
      <w:jc w:val="left"/>
    </w:pPr>
  </w:style>
  <w:style w:type="paragraph" w:styleId="19">
    <w:name w:val="Body Text 3"/>
    <w:basedOn w:val="1"/>
    <w:link w:val="64"/>
    <w:qFormat/>
    <w:uiPriority w:val="99"/>
    <w:rPr>
      <w:rFonts w:ascii="仿宋_GB2312" w:hAnsi="Arial" w:eastAsia="仿宋_GB2312"/>
      <w:sz w:val="32"/>
      <w:szCs w:val="32"/>
    </w:rPr>
  </w:style>
  <w:style w:type="paragraph" w:styleId="20">
    <w:name w:val="Body Text Indent"/>
    <w:basedOn w:val="1"/>
    <w:next w:val="21"/>
    <w:link w:val="65"/>
    <w:qFormat/>
    <w:uiPriority w:val="99"/>
    <w:pPr>
      <w:ind w:firstLine="645"/>
    </w:pPr>
    <w:rPr>
      <w:rFonts w:ascii="KaiTi_GB2312" w:eastAsia="KaiTi_GB2312"/>
      <w:sz w:val="32"/>
      <w:szCs w:val="32"/>
    </w:rPr>
  </w:style>
  <w:style w:type="paragraph" w:styleId="21">
    <w:name w:val="envelope return"/>
    <w:basedOn w:val="1"/>
    <w:qFormat/>
    <w:locked/>
    <w:uiPriority w:val="0"/>
    <w:pPr>
      <w:snapToGrid w:val="0"/>
    </w:pPr>
    <w:rPr>
      <w:rFonts w:ascii="Arial" w:hAnsi="Arial"/>
    </w:rPr>
  </w:style>
  <w:style w:type="paragraph" w:styleId="22">
    <w:name w:val="List 2"/>
    <w:basedOn w:val="1"/>
    <w:qFormat/>
    <w:uiPriority w:val="99"/>
    <w:pPr>
      <w:ind w:left="100" w:leftChars="200" w:hanging="200" w:hangingChars="200"/>
    </w:pPr>
  </w:style>
  <w:style w:type="paragraph" w:styleId="23">
    <w:name w:val="toc 3"/>
    <w:basedOn w:val="1"/>
    <w:next w:val="1"/>
    <w:unhideWhenUsed/>
    <w:qFormat/>
    <w:locked/>
    <w:uiPriority w:val="39"/>
    <w:pPr>
      <w:spacing w:line="360" w:lineRule="auto"/>
      <w:ind w:left="840" w:leftChars="400"/>
    </w:pPr>
    <w:rPr>
      <w:sz w:val="24"/>
      <w:szCs w:val="22"/>
    </w:rPr>
  </w:style>
  <w:style w:type="paragraph" w:styleId="24">
    <w:name w:val="Plain Text"/>
    <w:basedOn w:val="1"/>
    <w:link w:val="66"/>
    <w:qFormat/>
    <w:uiPriority w:val="0"/>
    <w:rPr>
      <w:rFonts w:ascii="宋体" w:hAnsi="Courier New" w:cs="Courier New"/>
    </w:rPr>
  </w:style>
  <w:style w:type="paragraph" w:styleId="25">
    <w:name w:val="Date"/>
    <w:basedOn w:val="1"/>
    <w:next w:val="1"/>
    <w:link w:val="67"/>
    <w:qFormat/>
    <w:uiPriority w:val="99"/>
    <w:rPr>
      <w:sz w:val="24"/>
      <w:szCs w:val="24"/>
    </w:rPr>
  </w:style>
  <w:style w:type="paragraph" w:styleId="26">
    <w:name w:val="Body Text Indent 2"/>
    <w:basedOn w:val="1"/>
    <w:link w:val="68"/>
    <w:qFormat/>
    <w:uiPriority w:val="99"/>
    <w:pPr>
      <w:ind w:left="630" w:firstLine="645"/>
    </w:pPr>
    <w:rPr>
      <w:rFonts w:ascii="Arial" w:hAnsi="Arial" w:eastAsia="仿宋_GB2312" w:cs="Arial"/>
      <w:sz w:val="32"/>
      <w:szCs w:val="32"/>
    </w:rPr>
  </w:style>
  <w:style w:type="paragraph" w:styleId="27">
    <w:name w:val="Balloon Text"/>
    <w:basedOn w:val="1"/>
    <w:link w:val="98"/>
    <w:semiHidden/>
    <w:qFormat/>
    <w:uiPriority w:val="99"/>
    <w:rPr>
      <w:sz w:val="18"/>
      <w:szCs w:val="18"/>
    </w:rPr>
  </w:style>
  <w:style w:type="paragraph" w:styleId="28">
    <w:name w:val="footer"/>
    <w:basedOn w:val="1"/>
    <w:link w:val="70"/>
    <w:qFormat/>
    <w:uiPriority w:val="99"/>
    <w:pPr>
      <w:tabs>
        <w:tab w:val="center" w:pos="4153"/>
        <w:tab w:val="right" w:pos="8306"/>
      </w:tabs>
      <w:snapToGrid w:val="0"/>
      <w:jc w:val="left"/>
    </w:pPr>
    <w:rPr>
      <w:sz w:val="18"/>
      <w:szCs w:val="18"/>
    </w:rPr>
  </w:style>
  <w:style w:type="paragraph" w:styleId="29">
    <w:name w:val="header"/>
    <w:basedOn w:val="1"/>
    <w:link w:val="72"/>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unhideWhenUsed/>
    <w:qFormat/>
    <w:locked/>
    <w:uiPriority w:val="39"/>
    <w:pPr>
      <w:spacing w:line="360" w:lineRule="auto"/>
    </w:pPr>
    <w:rPr>
      <w:sz w:val="24"/>
      <w:szCs w:val="22"/>
    </w:rPr>
  </w:style>
  <w:style w:type="paragraph" w:styleId="31">
    <w:name w:val="List"/>
    <w:basedOn w:val="1"/>
    <w:qFormat/>
    <w:uiPriority w:val="99"/>
    <w:pPr>
      <w:ind w:left="200" w:hanging="200" w:hangingChars="200"/>
    </w:pPr>
  </w:style>
  <w:style w:type="paragraph" w:styleId="32">
    <w:name w:val="Body Text Indent 3"/>
    <w:basedOn w:val="1"/>
    <w:link w:val="73"/>
    <w:qFormat/>
    <w:uiPriority w:val="99"/>
    <w:pPr>
      <w:ind w:left="645" w:firstLine="645"/>
    </w:pPr>
    <w:rPr>
      <w:rFonts w:ascii="Arial" w:hAnsi="Arial" w:eastAsia="仿宋_GB2312" w:cs="Arial"/>
      <w:color w:val="FFFF00"/>
      <w:sz w:val="32"/>
      <w:szCs w:val="32"/>
    </w:rPr>
  </w:style>
  <w:style w:type="paragraph" w:styleId="33">
    <w:name w:val="toc 2"/>
    <w:basedOn w:val="1"/>
    <w:next w:val="1"/>
    <w:unhideWhenUsed/>
    <w:qFormat/>
    <w:locked/>
    <w:uiPriority w:val="39"/>
    <w:pPr>
      <w:spacing w:line="360" w:lineRule="auto"/>
      <w:ind w:left="420" w:leftChars="200"/>
    </w:pPr>
    <w:rPr>
      <w:sz w:val="24"/>
      <w:szCs w:val="22"/>
    </w:rPr>
  </w:style>
  <w:style w:type="paragraph" w:styleId="34">
    <w:name w:val="Body Text 2"/>
    <w:basedOn w:val="1"/>
    <w:link w:val="74"/>
    <w:qFormat/>
    <w:uiPriority w:val="99"/>
    <w:pPr>
      <w:widowControl/>
      <w:jc w:val="center"/>
    </w:pPr>
    <w:rPr>
      <w:rFonts w:ascii="KaiTi_GB2312" w:eastAsia="KaiTi_GB2312"/>
      <w:sz w:val="28"/>
      <w:szCs w:val="28"/>
    </w:rPr>
  </w:style>
  <w:style w:type="paragraph" w:styleId="35">
    <w:name w:val="Message Header"/>
    <w:basedOn w:val="1"/>
    <w:qFormat/>
    <w:locked/>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36">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37">
    <w:name w:val="annotation subject"/>
    <w:basedOn w:val="18"/>
    <w:next w:val="18"/>
    <w:link w:val="97"/>
    <w:semiHidden/>
    <w:qFormat/>
    <w:uiPriority w:val="99"/>
    <w:rPr>
      <w:b/>
      <w:bCs/>
    </w:rPr>
  </w:style>
  <w:style w:type="paragraph" w:styleId="38">
    <w:name w:val="Body Text First Indent"/>
    <w:basedOn w:val="2"/>
    <w:link w:val="62"/>
    <w:qFormat/>
    <w:uiPriority w:val="99"/>
    <w:pPr>
      <w:spacing w:line="360" w:lineRule="auto"/>
      <w:ind w:firstLine="200" w:firstLineChars="200"/>
    </w:pPr>
    <w:rPr>
      <w:rFonts w:ascii="仿宋_GB2312" w:eastAsia="仿宋_GB2312"/>
      <w:sz w:val="30"/>
      <w:szCs w:val="30"/>
    </w:rPr>
  </w:style>
  <w:style w:type="paragraph" w:styleId="39">
    <w:name w:val="Body Text First Indent 2"/>
    <w:basedOn w:val="20"/>
    <w:link w:val="71"/>
    <w:qFormat/>
    <w:uiPriority w:val="99"/>
    <w:pPr>
      <w:spacing w:line="360" w:lineRule="auto"/>
      <w:ind w:firstLine="420" w:firstLineChars="200"/>
    </w:pPr>
    <w:rPr>
      <w:rFonts w:ascii="宋体" w:hAnsi="宋体" w:eastAsia="宋体"/>
      <w:sz w:val="21"/>
      <w:szCs w:val="20"/>
    </w:rPr>
  </w:style>
  <w:style w:type="table" w:styleId="41">
    <w:name w:val="Table Grid"/>
    <w:basedOn w:val="40"/>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43">
    <w:name w:val="Strong"/>
    <w:basedOn w:val="42"/>
    <w:qFormat/>
    <w:uiPriority w:val="22"/>
    <w:rPr>
      <w:rFonts w:cs="Times New Roman"/>
      <w:b/>
    </w:rPr>
  </w:style>
  <w:style w:type="character" w:styleId="44">
    <w:name w:val="page number"/>
    <w:basedOn w:val="42"/>
    <w:qFormat/>
    <w:uiPriority w:val="99"/>
    <w:rPr>
      <w:rFonts w:cs="Times New Roman"/>
    </w:rPr>
  </w:style>
  <w:style w:type="character" w:styleId="45">
    <w:name w:val="FollowedHyperlink"/>
    <w:basedOn w:val="42"/>
    <w:qFormat/>
    <w:uiPriority w:val="99"/>
    <w:rPr>
      <w:rFonts w:cs="Times New Roman"/>
      <w:color w:val="800080"/>
      <w:u w:val="single"/>
    </w:rPr>
  </w:style>
  <w:style w:type="character" w:styleId="46">
    <w:name w:val="Emphasis"/>
    <w:basedOn w:val="42"/>
    <w:qFormat/>
    <w:locked/>
    <w:uiPriority w:val="0"/>
    <w:rPr>
      <w:i/>
    </w:rPr>
  </w:style>
  <w:style w:type="character" w:styleId="47">
    <w:name w:val="Hyperlink"/>
    <w:basedOn w:val="42"/>
    <w:qFormat/>
    <w:uiPriority w:val="99"/>
    <w:rPr>
      <w:rFonts w:cs="Times New Roman"/>
      <w:color w:val="0000FF"/>
      <w:u w:val="single"/>
    </w:rPr>
  </w:style>
  <w:style w:type="character" w:styleId="48">
    <w:name w:val="annotation reference"/>
    <w:basedOn w:val="42"/>
    <w:semiHidden/>
    <w:qFormat/>
    <w:uiPriority w:val="99"/>
    <w:rPr>
      <w:rFonts w:cs="Times New Roman"/>
      <w:sz w:val="21"/>
    </w:rPr>
  </w:style>
  <w:style w:type="paragraph" w:customStyle="1" w:styleId="49">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50">
    <w:name w:val="标题 1 Char"/>
    <w:basedOn w:val="42"/>
    <w:link w:val="6"/>
    <w:qFormat/>
    <w:locked/>
    <w:uiPriority w:val="99"/>
    <w:rPr>
      <w:rFonts w:ascii="KaiTi_GB2312" w:hAnsi="Times New Roman" w:eastAsia="KaiTi_GB2312" w:cs="Times New Roman"/>
      <w:sz w:val="28"/>
      <w:szCs w:val="28"/>
    </w:rPr>
  </w:style>
  <w:style w:type="character" w:customStyle="1" w:styleId="51">
    <w:name w:val="标题 2 Char"/>
    <w:basedOn w:val="42"/>
    <w:link w:val="7"/>
    <w:qFormat/>
    <w:locked/>
    <w:uiPriority w:val="99"/>
    <w:rPr>
      <w:rFonts w:ascii="Arial" w:hAnsi="Arial" w:eastAsia="幼圆" w:cs="Arial"/>
      <w:b/>
      <w:bCs/>
      <w:sz w:val="44"/>
      <w:szCs w:val="44"/>
    </w:rPr>
  </w:style>
  <w:style w:type="character" w:customStyle="1" w:styleId="52">
    <w:name w:val="标题 3 Char"/>
    <w:basedOn w:val="42"/>
    <w:link w:val="9"/>
    <w:qFormat/>
    <w:locked/>
    <w:uiPriority w:val="99"/>
    <w:rPr>
      <w:rFonts w:ascii="Times New Roman" w:hAnsi="Times New Roman" w:eastAsia="宋体" w:cs="Times New Roman"/>
      <w:b/>
      <w:bCs/>
      <w:sz w:val="32"/>
      <w:szCs w:val="32"/>
    </w:rPr>
  </w:style>
  <w:style w:type="character" w:customStyle="1" w:styleId="53">
    <w:name w:val="标题 4 Char"/>
    <w:basedOn w:val="42"/>
    <w:link w:val="10"/>
    <w:qFormat/>
    <w:locked/>
    <w:uiPriority w:val="99"/>
    <w:rPr>
      <w:rFonts w:ascii="Arial" w:hAnsi="Arial" w:eastAsia="黑体" w:cs="Arial"/>
      <w:b/>
      <w:bCs/>
      <w:sz w:val="28"/>
      <w:szCs w:val="28"/>
    </w:rPr>
  </w:style>
  <w:style w:type="character" w:customStyle="1" w:styleId="54">
    <w:name w:val="标题 5 Char"/>
    <w:basedOn w:val="42"/>
    <w:link w:val="11"/>
    <w:qFormat/>
    <w:locked/>
    <w:uiPriority w:val="99"/>
    <w:rPr>
      <w:rFonts w:ascii="宋体" w:hAnsi="Times New Roman" w:eastAsia="宋体" w:cs="Times New Roman"/>
      <w:color w:val="000000"/>
      <w:kern w:val="0"/>
      <w:sz w:val="28"/>
      <w:szCs w:val="28"/>
    </w:rPr>
  </w:style>
  <w:style w:type="character" w:customStyle="1" w:styleId="55">
    <w:name w:val="标题 6 Char"/>
    <w:basedOn w:val="42"/>
    <w:link w:val="12"/>
    <w:qFormat/>
    <w:locked/>
    <w:uiPriority w:val="99"/>
    <w:rPr>
      <w:rFonts w:ascii="Arial" w:hAnsi="Arial" w:eastAsia="黑体" w:cs="Times New Roman"/>
      <w:b/>
      <w:bCs/>
      <w:sz w:val="24"/>
      <w:szCs w:val="24"/>
    </w:rPr>
  </w:style>
  <w:style w:type="character" w:customStyle="1" w:styleId="56">
    <w:name w:val="标题 7 Char"/>
    <w:basedOn w:val="42"/>
    <w:link w:val="13"/>
    <w:qFormat/>
    <w:locked/>
    <w:uiPriority w:val="99"/>
    <w:rPr>
      <w:rFonts w:ascii="Times New Roman" w:hAnsi="Times New Roman" w:eastAsia="宋体" w:cs="Times New Roman"/>
      <w:b/>
      <w:bCs/>
      <w:sz w:val="24"/>
      <w:szCs w:val="24"/>
    </w:rPr>
  </w:style>
  <w:style w:type="character" w:customStyle="1" w:styleId="57">
    <w:name w:val="标题 8 Char"/>
    <w:basedOn w:val="42"/>
    <w:link w:val="14"/>
    <w:qFormat/>
    <w:locked/>
    <w:uiPriority w:val="99"/>
    <w:rPr>
      <w:rFonts w:ascii="Arial" w:hAnsi="Arial" w:eastAsia="黑体" w:cs="Times New Roman"/>
      <w:sz w:val="24"/>
      <w:szCs w:val="24"/>
    </w:rPr>
  </w:style>
  <w:style w:type="character" w:customStyle="1" w:styleId="58">
    <w:name w:val="标题 9 Char"/>
    <w:basedOn w:val="42"/>
    <w:link w:val="15"/>
    <w:qFormat/>
    <w:locked/>
    <w:uiPriority w:val="99"/>
    <w:rPr>
      <w:rFonts w:ascii="Arial" w:hAnsi="Arial" w:eastAsia="黑体" w:cs="Times New Roman"/>
      <w:sz w:val="21"/>
      <w:szCs w:val="21"/>
    </w:rPr>
  </w:style>
  <w:style w:type="character" w:customStyle="1" w:styleId="59">
    <w:name w:val="批注文字 Char1"/>
    <w:basedOn w:val="42"/>
    <w:semiHidden/>
    <w:qFormat/>
    <w:locked/>
    <w:uiPriority w:val="99"/>
    <w:rPr>
      <w:rFonts w:ascii="Times New Roman" w:hAnsi="Times New Roman" w:eastAsia="宋体" w:cs="Times New Roman"/>
      <w:sz w:val="21"/>
      <w:szCs w:val="21"/>
    </w:rPr>
  </w:style>
  <w:style w:type="character" w:customStyle="1" w:styleId="60">
    <w:name w:val="批注主题 Char1"/>
    <w:basedOn w:val="59"/>
    <w:semiHidden/>
    <w:qFormat/>
    <w:locked/>
    <w:uiPriority w:val="99"/>
    <w:rPr>
      <w:rFonts w:ascii="Times New Roman" w:hAnsi="Times New Roman" w:eastAsia="宋体" w:cs="Times New Roman"/>
      <w:b/>
      <w:bCs/>
      <w:sz w:val="21"/>
      <w:szCs w:val="21"/>
    </w:rPr>
  </w:style>
  <w:style w:type="character" w:customStyle="1" w:styleId="61">
    <w:name w:val="正文文本 Char"/>
    <w:basedOn w:val="42"/>
    <w:link w:val="2"/>
    <w:qFormat/>
    <w:locked/>
    <w:uiPriority w:val="99"/>
    <w:rPr>
      <w:rFonts w:ascii="KaiTi_GB2312" w:hAnsi="Arial" w:eastAsia="KaiTi_GB2312" w:cs="Times New Roman"/>
      <w:sz w:val="28"/>
      <w:szCs w:val="28"/>
    </w:rPr>
  </w:style>
  <w:style w:type="character" w:customStyle="1" w:styleId="62">
    <w:name w:val="正文首行缩进 Char"/>
    <w:basedOn w:val="61"/>
    <w:link w:val="38"/>
    <w:qFormat/>
    <w:locked/>
    <w:uiPriority w:val="99"/>
    <w:rPr>
      <w:rFonts w:ascii="仿宋_GB2312" w:hAnsi="Times New Roman" w:eastAsia="仿宋_GB2312" w:cs="Times New Roman"/>
      <w:sz w:val="30"/>
      <w:szCs w:val="30"/>
    </w:rPr>
  </w:style>
  <w:style w:type="character" w:customStyle="1" w:styleId="63">
    <w:name w:val="文档结构图 Char"/>
    <w:basedOn w:val="42"/>
    <w:link w:val="17"/>
    <w:semiHidden/>
    <w:qFormat/>
    <w:locked/>
    <w:uiPriority w:val="99"/>
    <w:rPr>
      <w:rFonts w:ascii="Times New Roman" w:hAnsi="Times New Roman" w:eastAsia="宋体" w:cs="Times New Roman"/>
      <w:sz w:val="21"/>
      <w:szCs w:val="21"/>
      <w:shd w:val="clear" w:color="auto" w:fill="000080"/>
    </w:rPr>
  </w:style>
  <w:style w:type="character" w:customStyle="1" w:styleId="64">
    <w:name w:val="正文文本 3 Char"/>
    <w:basedOn w:val="42"/>
    <w:link w:val="19"/>
    <w:qFormat/>
    <w:locked/>
    <w:uiPriority w:val="99"/>
    <w:rPr>
      <w:rFonts w:ascii="仿宋_GB2312" w:hAnsi="Arial" w:eastAsia="仿宋_GB2312" w:cs="Times New Roman"/>
      <w:sz w:val="32"/>
      <w:szCs w:val="32"/>
    </w:rPr>
  </w:style>
  <w:style w:type="character" w:customStyle="1" w:styleId="65">
    <w:name w:val="正文文本缩进 Char"/>
    <w:basedOn w:val="42"/>
    <w:link w:val="20"/>
    <w:qFormat/>
    <w:locked/>
    <w:uiPriority w:val="99"/>
    <w:rPr>
      <w:rFonts w:ascii="KaiTi_GB2312" w:hAnsi="Times New Roman" w:eastAsia="KaiTi_GB2312" w:cs="Times New Roman"/>
      <w:sz w:val="32"/>
      <w:szCs w:val="32"/>
    </w:rPr>
  </w:style>
  <w:style w:type="character" w:customStyle="1" w:styleId="66">
    <w:name w:val="纯文本 Char"/>
    <w:basedOn w:val="42"/>
    <w:link w:val="24"/>
    <w:qFormat/>
    <w:locked/>
    <w:uiPriority w:val="0"/>
    <w:rPr>
      <w:rFonts w:ascii="宋体" w:hAnsi="Courier New" w:eastAsia="宋体" w:cs="Courier New"/>
      <w:sz w:val="21"/>
      <w:szCs w:val="21"/>
    </w:rPr>
  </w:style>
  <w:style w:type="character" w:customStyle="1" w:styleId="67">
    <w:name w:val="日期 Char"/>
    <w:basedOn w:val="42"/>
    <w:link w:val="25"/>
    <w:qFormat/>
    <w:locked/>
    <w:uiPriority w:val="99"/>
    <w:rPr>
      <w:rFonts w:ascii="Times New Roman" w:hAnsi="Times New Roman" w:eastAsia="宋体" w:cs="Times New Roman"/>
      <w:sz w:val="24"/>
      <w:szCs w:val="24"/>
    </w:rPr>
  </w:style>
  <w:style w:type="character" w:customStyle="1" w:styleId="68">
    <w:name w:val="正文文本缩进 2 Char"/>
    <w:basedOn w:val="42"/>
    <w:link w:val="26"/>
    <w:qFormat/>
    <w:locked/>
    <w:uiPriority w:val="99"/>
    <w:rPr>
      <w:rFonts w:ascii="Arial" w:hAnsi="Arial" w:eastAsia="仿宋_GB2312" w:cs="Arial"/>
      <w:sz w:val="32"/>
      <w:szCs w:val="32"/>
    </w:rPr>
  </w:style>
  <w:style w:type="character" w:customStyle="1" w:styleId="69">
    <w:name w:val="批注框文本 Char1"/>
    <w:basedOn w:val="42"/>
    <w:semiHidden/>
    <w:qFormat/>
    <w:locked/>
    <w:uiPriority w:val="99"/>
    <w:rPr>
      <w:rFonts w:ascii="Times New Roman" w:hAnsi="Times New Roman" w:eastAsia="宋体" w:cs="Times New Roman"/>
      <w:sz w:val="18"/>
      <w:szCs w:val="18"/>
    </w:rPr>
  </w:style>
  <w:style w:type="character" w:customStyle="1" w:styleId="70">
    <w:name w:val="页脚 Char"/>
    <w:basedOn w:val="42"/>
    <w:link w:val="28"/>
    <w:qFormat/>
    <w:locked/>
    <w:uiPriority w:val="99"/>
    <w:rPr>
      <w:rFonts w:ascii="Times New Roman" w:hAnsi="Times New Roman" w:eastAsia="宋体" w:cs="Times New Roman"/>
      <w:sz w:val="18"/>
      <w:szCs w:val="18"/>
    </w:rPr>
  </w:style>
  <w:style w:type="character" w:customStyle="1" w:styleId="71">
    <w:name w:val="正文首行缩进 2 Char"/>
    <w:basedOn w:val="65"/>
    <w:link w:val="39"/>
    <w:qFormat/>
    <w:locked/>
    <w:uiPriority w:val="99"/>
    <w:rPr>
      <w:rFonts w:ascii="宋体" w:hAnsi="宋体" w:eastAsia="宋体" w:cs="Times New Roman"/>
      <w:sz w:val="20"/>
      <w:szCs w:val="20"/>
    </w:rPr>
  </w:style>
  <w:style w:type="character" w:customStyle="1" w:styleId="72">
    <w:name w:val="页眉 Char"/>
    <w:basedOn w:val="42"/>
    <w:link w:val="29"/>
    <w:qFormat/>
    <w:locked/>
    <w:uiPriority w:val="99"/>
    <w:rPr>
      <w:rFonts w:ascii="Times New Roman" w:hAnsi="Times New Roman" w:eastAsia="宋体" w:cs="Times New Roman"/>
      <w:sz w:val="18"/>
      <w:szCs w:val="18"/>
    </w:rPr>
  </w:style>
  <w:style w:type="character" w:customStyle="1" w:styleId="73">
    <w:name w:val="正文文本缩进 3 Char"/>
    <w:basedOn w:val="42"/>
    <w:link w:val="32"/>
    <w:qFormat/>
    <w:locked/>
    <w:uiPriority w:val="99"/>
    <w:rPr>
      <w:rFonts w:ascii="Arial" w:hAnsi="Arial" w:eastAsia="仿宋_GB2312" w:cs="Arial"/>
      <w:color w:val="FFFF00"/>
      <w:sz w:val="32"/>
      <w:szCs w:val="32"/>
    </w:rPr>
  </w:style>
  <w:style w:type="character" w:customStyle="1" w:styleId="74">
    <w:name w:val="正文文本 2 Char"/>
    <w:basedOn w:val="42"/>
    <w:link w:val="34"/>
    <w:qFormat/>
    <w:locked/>
    <w:uiPriority w:val="99"/>
    <w:rPr>
      <w:rFonts w:ascii="KaiTi_GB2312" w:hAnsi="Times New Roman" w:eastAsia="KaiTi_GB2312" w:cs="Times New Roman"/>
      <w:sz w:val="28"/>
      <w:szCs w:val="28"/>
    </w:rPr>
  </w:style>
  <w:style w:type="character" w:customStyle="1" w:styleId="75">
    <w:name w:val="正文缩进 Char"/>
    <w:link w:val="8"/>
    <w:qFormat/>
    <w:locked/>
    <w:uiPriority w:val="99"/>
    <w:rPr>
      <w:rFonts w:ascii="Times New Roman" w:hAnsi="Times New Roman" w:eastAsia="宋体"/>
      <w:sz w:val="21"/>
    </w:rPr>
  </w:style>
  <w:style w:type="paragraph" w:customStyle="1" w:styleId="76">
    <w:name w:val="普通 (Web)"/>
    <w:basedOn w:val="1"/>
    <w:qFormat/>
    <w:uiPriority w:val="99"/>
    <w:pPr>
      <w:widowControl/>
      <w:spacing w:before="100" w:beforeAutospacing="1" w:after="100" w:afterAutospacing="1"/>
      <w:jc w:val="left"/>
    </w:pPr>
    <w:rPr>
      <w:rFonts w:ascii="宋体" w:hAnsi="宋体"/>
      <w:kern w:val="0"/>
      <w:sz w:val="24"/>
      <w:szCs w:val="24"/>
    </w:rPr>
  </w:style>
  <w:style w:type="paragraph" w:customStyle="1" w:styleId="77">
    <w:name w:val="标题3"/>
    <w:basedOn w:val="1"/>
    <w:next w:val="1"/>
    <w:qFormat/>
    <w:uiPriority w:val="99"/>
    <w:pPr>
      <w:autoSpaceDE w:val="0"/>
      <w:autoSpaceDN w:val="0"/>
      <w:snapToGrid w:val="0"/>
      <w:spacing w:line="590" w:lineRule="atLeast"/>
      <w:ind w:firstLine="624"/>
    </w:pPr>
    <w:rPr>
      <w:rFonts w:ascii="方正黑体_GBK" w:eastAsia="方正黑体_GBK"/>
      <w:kern w:val="0"/>
      <w:sz w:val="32"/>
      <w:szCs w:val="32"/>
    </w:rPr>
  </w:style>
  <w:style w:type="paragraph" w:customStyle="1" w:styleId="78">
    <w:name w:val="标题1"/>
    <w:basedOn w:val="1"/>
    <w:next w:val="1"/>
    <w:qFormat/>
    <w:uiPriority w:val="99"/>
    <w:pPr>
      <w:tabs>
        <w:tab w:val="left" w:pos="9193"/>
        <w:tab w:val="left" w:pos="9827"/>
      </w:tabs>
      <w:autoSpaceDE w:val="0"/>
      <w:autoSpaceDN w:val="0"/>
      <w:snapToGrid w:val="0"/>
      <w:spacing w:line="700" w:lineRule="atLeast"/>
      <w:jc w:val="center"/>
    </w:pPr>
    <w:rPr>
      <w:rFonts w:ascii="方正小标宋_GBK" w:eastAsia="方正小标宋_GBK"/>
      <w:kern w:val="0"/>
      <w:sz w:val="44"/>
      <w:szCs w:val="20"/>
    </w:rPr>
  </w:style>
  <w:style w:type="paragraph" w:customStyle="1" w:styleId="79">
    <w:name w:val="附录1"/>
    <w:qFormat/>
    <w:uiPriority w:val="99"/>
    <w:pPr>
      <w:tabs>
        <w:tab w:val="left" w:pos="907"/>
      </w:tabs>
      <w:snapToGrid w:val="0"/>
      <w:spacing w:before="240" w:line="600" w:lineRule="atLeast"/>
      <w:ind w:left="907" w:hanging="907"/>
    </w:pPr>
    <w:rPr>
      <w:rFonts w:ascii="Times New Roman" w:hAnsi="Times New Roman" w:eastAsia="宋体" w:cs="Times New Roman"/>
      <w:b/>
      <w:i/>
      <w:sz w:val="28"/>
      <w:lang w:val="en-US" w:eastAsia="zh-CN" w:bidi="ar-SA"/>
    </w:rPr>
  </w:style>
  <w:style w:type="paragraph" w:customStyle="1" w:styleId="80">
    <w:name w:val="4"/>
    <w:basedOn w:val="1"/>
    <w:next w:val="32"/>
    <w:qFormat/>
    <w:uiPriority w:val="99"/>
    <w:pPr>
      <w:spacing w:line="360" w:lineRule="auto"/>
      <w:ind w:firstLine="420"/>
    </w:pPr>
    <w:rPr>
      <w:color w:val="FF0000"/>
      <w:sz w:val="24"/>
      <w:szCs w:val="24"/>
    </w:rPr>
  </w:style>
  <w:style w:type="paragraph" w:customStyle="1" w:styleId="81">
    <w:name w:val="样式1"/>
    <w:basedOn w:val="1"/>
    <w:qFormat/>
    <w:uiPriority w:val="99"/>
    <w:pPr>
      <w:tabs>
        <w:tab w:val="left" w:pos="709"/>
      </w:tabs>
      <w:adjustRightInd w:val="0"/>
      <w:ind w:left="709" w:hanging="709"/>
      <w:textAlignment w:val="baseline"/>
    </w:pPr>
    <w:rPr>
      <w:rFonts w:ascii="宋体" w:hAnsi="宋体"/>
      <w:kern w:val="0"/>
    </w:rPr>
  </w:style>
  <w:style w:type="paragraph" w:customStyle="1" w:styleId="82">
    <w:name w:val="普通正文"/>
    <w:basedOn w:val="1"/>
    <w:qFormat/>
    <w:uiPriority w:val="99"/>
    <w:pPr>
      <w:adjustRightInd w:val="0"/>
      <w:spacing w:before="120" w:after="120" w:line="360" w:lineRule="auto"/>
      <w:ind w:firstLine="480"/>
      <w:jc w:val="left"/>
      <w:textAlignment w:val="baseline"/>
    </w:pPr>
    <w:rPr>
      <w:rFonts w:ascii="Arial" w:hAnsi="Arial"/>
      <w:kern w:val="0"/>
      <w:sz w:val="24"/>
      <w:szCs w:val="24"/>
    </w:rPr>
  </w:style>
  <w:style w:type="paragraph" w:customStyle="1" w:styleId="83">
    <w:name w:val="Body Text(ch)"/>
    <w:basedOn w:val="1"/>
    <w:next w:val="2"/>
    <w:qFormat/>
    <w:uiPriority w:val="99"/>
    <w:pPr>
      <w:spacing w:after="120"/>
    </w:pPr>
    <w:rPr>
      <w:rFonts w:ascii="宋体" w:hAnsi="Arial"/>
      <w:bCs/>
      <w:iCs/>
      <w:szCs w:val="24"/>
    </w:rPr>
  </w:style>
  <w:style w:type="paragraph" w:customStyle="1" w:styleId="84">
    <w:name w:val="图标"/>
    <w:basedOn w:val="1"/>
    <w:next w:val="1"/>
    <w:qFormat/>
    <w:uiPriority w:val="99"/>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eastAsia="仿宋_GB2312"/>
      <w:kern w:val="0"/>
      <w:sz w:val="24"/>
      <w:szCs w:val="20"/>
    </w:rPr>
  </w:style>
  <w:style w:type="paragraph" w:customStyle="1" w:styleId="85">
    <w:name w:val="xl25"/>
    <w:basedOn w:val="1"/>
    <w:qFormat/>
    <w:uiPriority w:val="99"/>
    <w:pPr>
      <w:widowControl/>
      <w:spacing w:before="100" w:beforeAutospacing="1" w:after="100" w:afterAutospacing="1"/>
      <w:jc w:val="center"/>
      <w:textAlignment w:val="center"/>
    </w:pPr>
    <w:rPr>
      <w:rFonts w:ascii="Arial Unicode MS" w:hAnsi="Arial Unicode MS" w:eastAsia="Arial Unicode MS" w:cs="Arial Unicode MS"/>
      <w:kern w:val="0"/>
      <w:sz w:val="24"/>
      <w:szCs w:val="24"/>
    </w:rPr>
  </w:style>
  <w:style w:type="paragraph" w:customStyle="1" w:styleId="86">
    <w:name w:val="font5"/>
    <w:basedOn w:val="1"/>
    <w:qFormat/>
    <w:uiPriority w:val="99"/>
    <w:pPr>
      <w:widowControl/>
      <w:spacing w:before="100" w:beforeAutospacing="1" w:after="100" w:afterAutospacing="1"/>
      <w:jc w:val="left"/>
    </w:pPr>
    <w:rPr>
      <w:rFonts w:ascii="宋体" w:hAnsi="宋体"/>
      <w:kern w:val="0"/>
      <w:sz w:val="28"/>
      <w:szCs w:val="28"/>
    </w:rPr>
  </w:style>
  <w:style w:type="paragraph" w:customStyle="1" w:styleId="87">
    <w:name w:val="font6"/>
    <w:basedOn w:val="1"/>
    <w:qFormat/>
    <w:uiPriority w:val="99"/>
    <w:pPr>
      <w:widowControl/>
      <w:spacing w:before="100" w:beforeAutospacing="1" w:after="100" w:afterAutospacing="1"/>
      <w:jc w:val="left"/>
    </w:pPr>
    <w:rPr>
      <w:rFonts w:ascii="宋体" w:hAnsi="宋体"/>
      <w:kern w:val="0"/>
      <w:sz w:val="28"/>
      <w:szCs w:val="28"/>
      <w:u w:val="single"/>
    </w:rPr>
  </w:style>
  <w:style w:type="paragraph" w:customStyle="1" w:styleId="88">
    <w:name w:val="font7"/>
    <w:basedOn w:val="1"/>
    <w:qFormat/>
    <w:uiPriority w:val="99"/>
    <w:pPr>
      <w:widowControl/>
      <w:spacing w:before="100" w:beforeAutospacing="1" w:after="100" w:afterAutospacing="1"/>
      <w:jc w:val="left"/>
    </w:pPr>
    <w:rPr>
      <w:rFonts w:ascii="宋体" w:hAnsi="宋体"/>
      <w:kern w:val="0"/>
      <w:sz w:val="18"/>
      <w:szCs w:val="18"/>
    </w:rPr>
  </w:style>
  <w:style w:type="paragraph" w:customStyle="1" w:styleId="89">
    <w:name w:val="xl24"/>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kern w:val="0"/>
      <w:sz w:val="24"/>
      <w:szCs w:val="24"/>
    </w:rPr>
  </w:style>
  <w:style w:type="paragraph" w:customStyle="1" w:styleId="90">
    <w:name w:val="xl2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customStyle="1" w:styleId="91">
    <w:name w:val="xl27"/>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4"/>
    </w:rPr>
  </w:style>
  <w:style w:type="paragraph" w:customStyle="1" w:styleId="92">
    <w:name w:val="xl28"/>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4"/>
    </w:rPr>
  </w:style>
  <w:style w:type="paragraph" w:customStyle="1" w:styleId="93">
    <w:name w:val="xl29"/>
    <w:basedOn w:val="1"/>
    <w:qFormat/>
    <w:uiPriority w:val="99"/>
    <w:pPr>
      <w:widowControl/>
      <w:pBdr>
        <w:left w:val="single" w:color="auto" w:sz="4" w:space="0"/>
        <w:bottom w:val="single" w:color="auto" w:sz="4" w:space="0"/>
      </w:pBdr>
      <w:spacing w:before="100" w:beforeAutospacing="1" w:after="100" w:afterAutospacing="1"/>
      <w:jc w:val="left"/>
    </w:pPr>
    <w:rPr>
      <w:rFonts w:ascii="宋体" w:hAnsi="宋体"/>
      <w:kern w:val="0"/>
      <w:sz w:val="24"/>
      <w:szCs w:val="24"/>
    </w:rPr>
  </w:style>
  <w:style w:type="paragraph" w:customStyle="1" w:styleId="94">
    <w:name w:val="xl30"/>
    <w:basedOn w:val="1"/>
    <w:qFormat/>
    <w:uiPriority w:val="99"/>
    <w:pPr>
      <w:widowControl/>
      <w:spacing w:before="100" w:beforeAutospacing="1" w:after="100" w:afterAutospacing="1"/>
      <w:jc w:val="center"/>
    </w:pPr>
    <w:rPr>
      <w:rFonts w:ascii="宋体" w:hAnsi="宋体"/>
      <w:b/>
      <w:bCs/>
      <w:kern w:val="0"/>
      <w:sz w:val="36"/>
      <w:szCs w:val="36"/>
    </w:rPr>
  </w:style>
  <w:style w:type="paragraph" w:customStyle="1" w:styleId="95">
    <w:name w:val="Char"/>
    <w:basedOn w:val="17"/>
    <w:qFormat/>
    <w:uiPriority w:val="0"/>
    <w:rPr>
      <w:rFonts w:ascii="Tahoma" w:hAnsi="Tahoma"/>
      <w:sz w:val="24"/>
      <w:szCs w:val="24"/>
    </w:rPr>
  </w:style>
  <w:style w:type="character" w:customStyle="1" w:styleId="96">
    <w:name w:val="批注文字 Char"/>
    <w:basedOn w:val="42"/>
    <w:link w:val="18"/>
    <w:semiHidden/>
    <w:qFormat/>
    <w:locked/>
    <w:uiPriority w:val="99"/>
    <w:rPr>
      <w:rFonts w:ascii="Times New Roman" w:hAnsi="Times New Roman" w:eastAsia="宋体" w:cs="Times New Roman"/>
      <w:sz w:val="21"/>
      <w:szCs w:val="21"/>
    </w:rPr>
  </w:style>
  <w:style w:type="character" w:customStyle="1" w:styleId="97">
    <w:name w:val="批注主题 Char"/>
    <w:basedOn w:val="96"/>
    <w:link w:val="37"/>
    <w:semiHidden/>
    <w:qFormat/>
    <w:locked/>
    <w:uiPriority w:val="99"/>
    <w:rPr>
      <w:rFonts w:ascii="Times New Roman" w:hAnsi="Times New Roman" w:eastAsia="宋体" w:cs="Times New Roman"/>
      <w:b/>
      <w:bCs/>
      <w:sz w:val="21"/>
      <w:szCs w:val="21"/>
    </w:rPr>
  </w:style>
  <w:style w:type="character" w:customStyle="1" w:styleId="98">
    <w:name w:val="批注框文本 Char"/>
    <w:basedOn w:val="42"/>
    <w:link w:val="27"/>
    <w:semiHidden/>
    <w:qFormat/>
    <w:locked/>
    <w:uiPriority w:val="99"/>
    <w:rPr>
      <w:rFonts w:ascii="Times New Roman" w:hAnsi="Times New Roman" w:eastAsia="宋体" w:cs="Times New Roman"/>
      <w:sz w:val="18"/>
      <w:szCs w:val="18"/>
    </w:rPr>
  </w:style>
  <w:style w:type="paragraph" w:customStyle="1" w:styleId="99">
    <w:name w:val="table_1stline"/>
    <w:basedOn w:val="1"/>
    <w:qFormat/>
    <w:uiPriority w:val="99"/>
    <w:pPr>
      <w:widowControl/>
      <w:spacing w:before="120"/>
      <w:jc w:val="left"/>
    </w:pPr>
    <w:rPr>
      <w:bCs/>
      <w:kern w:val="0"/>
      <w:sz w:val="20"/>
      <w:szCs w:val="20"/>
      <w:lang w:val="de-DE" w:eastAsia="de-DE"/>
    </w:rPr>
  </w:style>
  <w:style w:type="paragraph" w:customStyle="1" w:styleId="100">
    <w:name w:val="table_lines"/>
    <w:basedOn w:val="1"/>
    <w:qFormat/>
    <w:uiPriority w:val="99"/>
    <w:pPr>
      <w:widowControl/>
      <w:jc w:val="left"/>
    </w:pPr>
    <w:rPr>
      <w:kern w:val="0"/>
      <w:sz w:val="20"/>
      <w:szCs w:val="20"/>
      <w:lang w:val="de-DE" w:eastAsia="de-DE"/>
    </w:rPr>
  </w:style>
  <w:style w:type="character" w:customStyle="1" w:styleId="101">
    <w:name w:val="font5 Char"/>
    <w:qFormat/>
    <w:uiPriority w:val="99"/>
    <w:rPr>
      <w:rFonts w:ascii="宋体" w:hAnsi="宋体" w:eastAsia="宋体"/>
      <w:sz w:val="28"/>
      <w:lang w:val="en-US" w:eastAsia="zh-CN"/>
    </w:rPr>
  </w:style>
  <w:style w:type="paragraph" w:customStyle="1" w:styleId="102">
    <w:name w:val="Char Char Char Char"/>
    <w:basedOn w:val="17"/>
    <w:qFormat/>
    <w:uiPriority w:val="99"/>
    <w:pPr>
      <w:adjustRightInd w:val="0"/>
      <w:snapToGrid w:val="0"/>
      <w:spacing w:line="360" w:lineRule="auto"/>
    </w:pPr>
    <w:rPr>
      <w:rFonts w:ascii="Tahoma" w:hAnsi="Tahoma"/>
      <w:sz w:val="24"/>
      <w:szCs w:val="24"/>
    </w:rPr>
  </w:style>
  <w:style w:type="paragraph" w:customStyle="1" w:styleId="103">
    <w:name w:val="Char Char Char Char Char Char Char Char"/>
    <w:basedOn w:val="1"/>
    <w:qFormat/>
    <w:uiPriority w:val="99"/>
    <w:pPr>
      <w:widowControl/>
      <w:spacing w:after="160" w:line="240" w:lineRule="exact"/>
      <w:jc w:val="left"/>
    </w:pPr>
    <w:rPr>
      <w:rFonts w:ascii="Verdana" w:hAnsi="Verdana"/>
      <w:kern w:val="0"/>
      <w:sz w:val="20"/>
      <w:szCs w:val="20"/>
      <w:lang w:eastAsia="en-US"/>
    </w:rPr>
  </w:style>
  <w:style w:type="paragraph" w:customStyle="1" w:styleId="104">
    <w:name w:val="列出段落1"/>
    <w:basedOn w:val="1"/>
    <w:qFormat/>
    <w:uiPriority w:val="99"/>
    <w:pPr>
      <w:widowControl/>
      <w:ind w:left="720"/>
      <w:contextualSpacing/>
      <w:jc w:val="left"/>
    </w:pPr>
    <w:rPr>
      <w:rFonts w:ascii="Calibri" w:hAnsi="Calibri"/>
      <w:kern w:val="0"/>
      <w:sz w:val="24"/>
      <w:szCs w:val="24"/>
      <w:lang w:eastAsia="en-US"/>
    </w:rPr>
  </w:style>
  <w:style w:type="paragraph" w:customStyle="1" w:styleId="105">
    <w:name w:val="Char Char Char Char Char Char Char Char Char Char"/>
    <w:basedOn w:val="1"/>
    <w:qFormat/>
    <w:uiPriority w:val="99"/>
    <w:pPr>
      <w:adjustRightInd w:val="0"/>
      <w:spacing w:line="360" w:lineRule="auto"/>
    </w:pPr>
    <w:rPr>
      <w:kern w:val="0"/>
      <w:sz w:val="24"/>
      <w:szCs w:val="20"/>
    </w:rPr>
  </w:style>
  <w:style w:type="character" w:customStyle="1" w:styleId="106">
    <w:name w:val="列出段落 Char"/>
    <w:link w:val="107"/>
    <w:qFormat/>
    <w:locked/>
    <w:uiPriority w:val="99"/>
    <w:rPr>
      <w:rFonts w:ascii="Calibri" w:hAnsi="Calibri"/>
      <w:sz w:val="24"/>
      <w:lang w:eastAsia="en-US"/>
    </w:rPr>
  </w:style>
  <w:style w:type="paragraph" w:customStyle="1" w:styleId="107">
    <w:name w:val="列出段落11"/>
    <w:basedOn w:val="1"/>
    <w:link w:val="106"/>
    <w:qFormat/>
    <w:uiPriority w:val="99"/>
    <w:pPr>
      <w:widowControl/>
      <w:ind w:left="720"/>
      <w:contextualSpacing/>
      <w:jc w:val="left"/>
    </w:pPr>
    <w:rPr>
      <w:rFonts w:ascii="Calibri" w:hAnsi="Calibri"/>
      <w:kern w:val="0"/>
      <w:sz w:val="24"/>
      <w:szCs w:val="20"/>
      <w:lang w:eastAsia="en-US"/>
    </w:rPr>
  </w:style>
  <w:style w:type="character" w:customStyle="1" w:styleId="108">
    <w:name w:val="二级目录 Char"/>
    <w:link w:val="109"/>
    <w:qFormat/>
    <w:locked/>
    <w:uiPriority w:val="99"/>
    <w:rPr>
      <w:b/>
      <w:kern w:val="2"/>
      <w:sz w:val="30"/>
      <w:szCs w:val="28"/>
      <w:lang w:val="en-US" w:eastAsia="zh-CN" w:bidi="ar-SA"/>
    </w:rPr>
  </w:style>
  <w:style w:type="paragraph" w:customStyle="1" w:styleId="109">
    <w:name w:val="二级目录"/>
    <w:next w:val="1"/>
    <w:link w:val="108"/>
    <w:qFormat/>
    <w:uiPriority w:val="99"/>
    <w:pPr>
      <w:tabs>
        <w:tab w:val="left" w:pos="907"/>
        <w:tab w:val="left" w:pos="1145"/>
      </w:tabs>
      <w:ind w:left="907" w:hanging="907"/>
      <w:outlineLvl w:val="1"/>
    </w:pPr>
    <w:rPr>
      <w:rFonts w:ascii="Calibri" w:hAnsi="Calibri" w:eastAsia="宋体" w:cs="Times New Roman"/>
      <w:b/>
      <w:kern w:val="2"/>
      <w:sz w:val="30"/>
      <w:szCs w:val="28"/>
      <w:lang w:val="en-US" w:eastAsia="zh-CN" w:bidi="ar-SA"/>
    </w:rPr>
  </w:style>
  <w:style w:type="character" w:customStyle="1" w:styleId="110">
    <w:name w:val="news12241"/>
    <w:basedOn w:val="42"/>
    <w:qFormat/>
    <w:uiPriority w:val="0"/>
    <w:rPr>
      <w:color w:val="000000"/>
      <w:sz w:val="18"/>
      <w:szCs w:val="18"/>
      <w:u w:val="none"/>
    </w:rPr>
  </w:style>
  <w:style w:type="character" w:customStyle="1" w:styleId="111">
    <w:name w:val="apple-converted-space"/>
    <w:basedOn w:val="42"/>
    <w:qFormat/>
    <w:uiPriority w:val="0"/>
  </w:style>
  <w:style w:type="paragraph" w:customStyle="1" w:styleId="112">
    <w:name w:val="列出段落2"/>
    <w:basedOn w:val="1"/>
    <w:qFormat/>
    <w:uiPriority w:val="0"/>
    <w:pPr>
      <w:ind w:firstLine="420" w:firstLineChars="200"/>
    </w:pPr>
    <w:rPr>
      <w:rFonts w:ascii="Calibri" w:hAnsi="Calibri"/>
      <w:szCs w:val="22"/>
    </w:rPr>
  </w:style>
  <w:style w:type="paragraph" w:styleId="113">
    <w:name w:val="List Paragraph"/>
    <w:basedOn w:val="1"/>
    <w:link w:val="116"/>
    <w:qFormat/>
    <w:uiPriority w:val="34"/>
    <w:pPr>
      <w:spacing w:line="360" w:lineRule="auto"/>
      <w:ind w:firstLine="420" w:firstLineChars="200"/>
    </w:pPr>
    <w:rPr>
      <w:sz w:val="24"/>
      <w:szCs w:val="22"/>
    </w:rPr>
  </w:style>
  <w:style w:type="paragraph" w:customStyle="1" w:styleId="114">
    <w:name w:val="TOC 标题1"/>
    <w:basedOn w:val="6"/>
    <w:next w:val="1"/>
    <w:unhideWhenUsed/>
    <w:qFormat/>
    <w:uiPriority w:val="39"/>
    <w:pPr>
      <w:keepLines/>
      <w:widowControl/>
      <w:spacing w:before="240" w:line="259" w:lineRule="auto"/>
      <w:jc w:val="left"/>
      <w:outlineLvl w:val="9"/>
    </w:pPr>
    <w:rPr>
      <w:rFonts w:ascii="Cambria" w:hAnsi="Cambria" w:eastAsia="宋体"/>
      <w:color w:val="365F91"/>
      <w:kern w:val="0"/>
      <w:sz w:val="32"/>
      <w:szCs w:val="32"/>
    </w:rPr>
  </w:style>
  <w:style w:type="paragraph" w:customStyle="1" w:styleId="115">
    <w:name w:val="default"/>
    <w:basedOn w:val="1"/>
    <w:qFormat/>
    <w:uiPriority w:val="99"/>
    <w:pPr>
      <w:widowControl/>
      <w:jc w:val="left"/>
    </w:pPr>
    <w:rPr>
      <w:rFonts w:ascii="黑体" w:hAnsi="黑体" w:eastAsia="黑体" w:cs="宋体"/>
      <w:color w:val="000000"/>
      <w:kern w:val="0"/>
      <w:sz w:val="24"/>
      <w:szCs w:val="24"/>
    </w:rPr>
  </w:style>
  <w:style w:type="character" w:customStyle="1" w:styleId="116">
    <w:name w:val="列出段落 Char1"/>
    <w:link w:val="113"/>
    <w:qFormat/>
    <w:uiPriority w:val="34"/>
    <w:rPr>
      <w:rFonts w:ascii="Times New Roman" w:hAnsi="Times New Roman" w:eastAsia="宋体" w:cs="Times New Roman"/>
      <w:kern w:val="2"/>
      <w:sz w:val="24"/>
      <w:szCs w:val="22"/>
    </w:rPr>
  </w:style>
  <w:style w:type="character" w:customStyle="1" w:styleId="117">
    <w:name w:val="font61"/>
    <w:basedOn w:val="42"/>
    <w:qFormat/>
    <w:uiPriority w:val="0"/>
    <w:rPr>
      <w:rFonts w:hint="eastAsia" w:ascii="微软雅黑" w:hAnsi="微软雅黑" w:eastAsia="微软雅黑" w:cs="微软雅黑"/>
      <w:color w:val="000000"/>
      <w:sz w:val="20"/>
      <w:szCs w:val="20"/>
      <w:u w:val="none"/>
    </w:rPr>
  </w:style>
  <w:style w:type="character" w:customStyle="1" w:styleId="118">
    <w:name w:val="font11"/>
    <w:basedOn w:val="42"/>
    <w:qFormat/>
    <w:uiPriority w:val="0"/>
    <w:rPr>
      <w:rFonts w:hint="eastAsia" w:ascii="宋体" w:hAnsi="宋体" w:eastAsia="宋体" w:cs="宋体"/>
      <w:color w:val="000000"/>
      <w:sz w:val="20"/>
      <w:szCs w:val="20"/>
      <w:u w:val="none"/>
    </w:rPr>
  </w:style>
  <w:style w:type="paragraph" w:customStyle="1" w:styleId="119">
    <w:name w:val="表格文字"/>
    <w:basedOn w:val="1"/>
    <w:next w:val="2"/>
    <w:qFormat/>
    <w:uiPriority w:val="0"/>
    <w:pPr>
      <w:spacing w:before="25" w:after="25"/>
      <w:jc w:val="left"/>
    </w:pPr>
    <w:rPr>
      <w:bCs/>
      <w:spacing w:val="10"/>
      <w:kern w:val="0"/>
      <w:sz w:val="24"/>
      <w:szCs w:val="20"/>
    </w:rPr>
  </w:style>
  <w:style w:type="character" w:customStyle="1" w:styleId="120">
    <w:name w:val="font101"/>
    <w:basedOn w:val="42"/>
    <w:qFormat/>
    <w:uiPriority w:val="0"/>
    <w:rPr>
      <w:rFonts w:hint="eastAsia" w:ascii="宋体" w:hAnsi="宋体" w:eastAsia="宋体" w:cs="宋体"/>
      <w:color w:val="000000"/>
      <w:sz w:val="16"/>
      <w:szCs w:val="16"/>
      <w:u w:val="none"/>
    </w:rPr>
  </w:style>
  <w:style w:type="character" w:customStyle="1" w:styleId="121">
    <w:name w:val="font31"/>
    <w:basedOn w:val="42"/>
    <w:qFormat/>
    <w:uiPriority w:val="0"/>
    <w:rPr>
      <w:rFonts w:hint="eastAsia" w:ascii="宋体" w:hAnsi="宋体" w:eastAsia="宋体" w:cs="宋体"/>
      <w:b/>
      <w:bCs/>
      <w:color w:val="000000"/>
      <w:sz w:val="18"/>
      <w:szCs w:val="18"/>
      <w:u w:val="none"/>
    </w:rPr>
  </w:style>
  <w:style w:type="character" w:customStyle="1" w:styleId="122">
    <w:name w:val="font21"/>
    <w:basedOn w:val="42"/>
    <w:qFormat/>
    <w:uiPriority w:val="0"/>
    <w:rPr>
      <w:rFonts w:hint="eastAsia" w:ascii="宋体" w:hAnsi="宋体" w:eastAsia="宋体" w:cs="宋体"/>
      <w:color w:val="000000"/>
      <w:sz w:val="18"/>
      <w:szCs w:val="18"/>
      <w:u w:val="none"/>
    </w:rPr>
  </w:style>
  <w:style w:type="character" w:customStyle="1" w:styleId="123">
    <w:name w:val="font51"/>
    <w:basedOn w:val="42"/>
    <w:qFormat/>
    <w:uiPriority w:val="0"/>
    <w:rPr>
      <w:rFonts w:hint="eastAsia" w:ascii="宋体" w:hAnsi="宋体" w:eastAsia="宋体" w:cs="宋体"/>
      <w:color w:val="000000"/>
      <w:sz w:val="16"/>
      <w:szCs w:val="16"/>
      <w:u w:val="none"/>
    </w:rPr>
  </w:style>
  <w:style w:type="character" w:customStyle="1" w:styleId="124">
    <w:name w:val="font41"/>
    <w:basedOn w:val="42"/>
    <w:qFormat/>
    <w:uiPriority w:val="0"/>
    <w:rPr>
      <w:rFonts w:hint="eastAsia" w:ascii="宋体" w:hAnsi="宋体" w:eastAsia="宋体" w:cs="宋体"/>
      <w:color w:val="000000"/>
      <w:sz w:val="16"/>
      <w:szCs w:val="16"/>
      <w:u w:val="none"/>
    </w:rPr>
  </w:style>
  <w:style w:type="paragraph" w:customStyle="1" w:styleId="125">
    <w:name w:val="样式2"/>
    <w:basedOn w:val="1"/>
    <w:next w:val="1"/>
    <w:qFormat/>
    <w:uiPriority w:val="0"/>
    <w:pPr>
      <w:keepNext/>
      <w:keepLines/>
      <w:spacing w:before="260" w:after="260" w:line="240" w:lineRule="atLeast"/>
      <w:jc w:val="center"/>
      <w:outlineLvl w:val="1"/>
    </w:pPr>
    <w:rPr>
      <w:rFonts w:ascii="Arial" w:hAnsi="Arial" w:eastAsia="宋体" w:cs="Arial"/>
      <w:b/>
      <w:bCs/>
      <w:sz w:val="24"/>
      <w:szCs w:val="44"/>
    </w:rPr>
  </w:style>
  <w:style w:type="paragraph" w:customStyle="1" w:styleId="126">
    <w:name w:val="样式3"/>
    <w:basedOn w:val="1"/>
    <w:next w:val="1"/>
    <w:qFormat/>
    <w:uiPriority w:val="0"/>
    <w:pPr>
      <w:keepNext/>
      <w:keepLines/>
      <w:spacing w:before="260" w:after="260" w:line="320" w:lineRule="exact"/>
      <w:ind w:firstLine="480" w:firstLineChars="200"/>
      <w:jc w:val="center"/>
      <w:outlineLvl w:val="1"/>
    </w:pPr>
    <w:rPr>
      <w:rFonts w:ascii="Arial" w:hAnsi="Arial" w:eastAsia="宋体" w:cs="Arial"/>
      <w:b/>
      <w:bCs/>
      <w:sz w:val="24"/>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33" textRotate="1"/>
    <customShpInfo spid="_x0000_s1026"/>
    <customShpInfo spid="_x0000_s1027"/>
    <customShpInfo spid="_x0000_s1035"/>
    <customShpInfo spid="_x0000_s205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972F6B-E56E-48F2-AE2E-539ECDB288C0}">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Pages>
  <Words>3603</Words>
  <Characters>20543</Characters>
  <Lines>171</Lines>
  <Paragraphs>48</Paragraphs>
  <TotalTime>5</TotalTime>
  <ScaleCrop>false</ScaleCrop>
  <LinksUpToDate>false</LinksUpToDate>
  <CharactersWithSpaces>24098</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2020-06-27T17:02:00Z</dcterms:created>
  <dc:creator>lenovo</dc:creator>
  <cp:lastModifiedBy>45965</cp:lastModifiedBy>
  <cp:lastPrinted>2021-11-18T02:26:00Z</cp:lastPrinted>
  <dcterms:modified xsi:type="dcterms:W3CDTF">2021-11-18T08:38:47Z</dcterms:modified>
  <cp:revision>278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FD86E9BE2B2E4F0EA50017EC2983222A</vt:lpwstr>
  </property>
</Properties>
</file>