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outlineLvl w:val="0"/>
        <w:rPr>
          <w:rFonts w:asciiTheme="minorEastAsia" w:hAnsiTheme="minorEastAsia" w:eastAsiaTheme="minorEastAsia"/>
          <w:b/>
          <w:bCs/>
          <w:color w:val="auto"/>
          <w:sz w:val="24"/>
        </w:rPr>
      </w:pPr>
      <w:bookmarkStart w:id="2" w:name="_GoBack"/>
      <w:bookmarkEnd w:id="2"/>
      <w:r>
        <w:rPr>
          <w:rFonts w:hint="eastAsia" w:asciiTheme="minorEastAsia" w:hAnsiTheme="minorEastAsia" w:eastAsiaTheme="minorEastAsia"/>
          <w:b/>
          <w:bCs/>
          <w:color w:val="auto"/>
          <w:sz w:val="24"/>
        </w:rPr>
        <w:t>采购需求</w:t>
      </w:r>
    </w:p>
    <w:p>
      <w:pPr>
        <w:spacing w:after="0" w:line="360" w:lineRule="auto"/>
        <w:jc w:val="center"/>
        <w:outlineLvl w:val="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（仅供参考，具体以招标文件为准。）</w:t>
      </w:r>
    </w:p>
    <w:p>
      <w:pPr>
        <w:spacing w:line="360" w:lineRule="auto"/>
        <w:ind w:firstLine="435"/>
        <w:rPr>
          <w:rFonts w:asciiTheme="minorEastAsia" w:hAnsiTheme="minorEastAsia" w:eastAsiaTheme="minorEastAsia"/>
          <w:sz w:val="24"/>
        </w:rPr>
      </w:pPr>
      <w:bookmarkStart w:id="0" w:name="_Hlk23621890"/>
      <w:r>
        <w:rPr>
          <w:rFonts w:asciiTheme="minorEastAsia" w:hAnsiTheme="minorEastAsia" w:eastAsiaTheme="minorEastAsia"/>
          <w:sz w:val="24"/>
        </w:rPr>
        <w:t>本采购需求中提出的服务方案仅为参考，如无明确限制，投标</w:t>
      </w:r>
      <w:r>
        <w:rPr>
          <w:rFonts w:hint="eastAsia" w:asciiTheme="minorEastAsia" w:hAnsiTheme="minorEastAsia" w:eastAsiaTheme="minorEastAsia"/>
          <w:sz w:val="24"/>
        </w:rPr>
        <w:t>人</w:t>
      </w:r>
      <w:r>
        <w:rPr>
          <w:rFonts w:asciiTheme="minorEastAsia" w:hAnsiTheme="minorEastAsia" w:eastAsiaTheme="minorEastAsia"/>
          <w:sz w:val="24"/>
        </w:rPr>
        <w:t>可以进行优化，提供满足采购人实际需要的更优（或者性能实质上不低于的）服务方案，且此方案须经评标委员会评审认可</w:t>
      </w:r>
      <w:r>
        <w:rPr>
          <w:rFonts w:hint="eastAsia" w:asciiTheme="minorEastAsia" w:hAnsiTheme="minorEastAsia" w:eastAsiaTheme="minorEastAsia"/>
          <w:sz w:val="24"/>
        </w:rPr>
        <w:t>。</w:t>
      </w:r>
    </w:p>
    <w:p>
      <w:pPr>
        <w:spacing w:line="360" w:lineRule="auto"/>
        <w:ind w:firstLine="437"/>
        <w:outlineLvl w:val="1"/>
        <w:rPr>
          <w:rFonts w:ascii="宋体" w:hAnsi="宋体" w:eastAsia="宋体"/>
          <w:b/>
          <w:sz w:val="24"/>
          <w:szCs w:val="18"/>
        </w:rPr>
      </w:pPr>
      <w:r>
        <w:rPr>
          <w:rFonts w:hint="eastAsia" w:ascii="宋体" w:hAnsi="宋体" w:eastAsia="宋体"/>
          <w:b/>
          <w:sz w:val="24"/>
          <w:szCs w:val="18"/>
        </w:rPr>
        <w:t>一、采购需求前附表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703"/>
        <w:gridCol w:w="6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
                <w:kern w:val="2"/>
              </w:rPr>
            </w:pPr>
            <w:r>
              <w:rPr>
                <w:rFonts w:hint="eastAsia" w:ascii="宋体" w:hAnsi="宋体" w:eastAsia="宋体"/>
                <w:b/>
                <w:kern w:val="2"/>
              </w:rPr>
              <w:t>序号</w:t>
            </w:r>
          </w:p>
        </w:tc>
        <w:tc>
          <w:tcPr>
            <w:tcW w:w="999" w:type="pct"/>
            <w:vAlign w:val="center"/>
          </w:tcPr>
          <w:p>
            <w:pPr>
              <w:pStyle w:val="26"/>
              <w:widowControl w:val="0"/>
              <w:spacing w:before="0" w:beforeAutospacing="0" w:after="0" w:afterAutospacing="0" w:line="360" w:lineRule="auto"/>
              <w:rPr>
                <w:rFonts w:ascii="宋体" w:hAnsi="宋体" w:eastAsia="宋体"/>
                <w:bCs w:val="0"/>
                <w:sz w:val="24"/>
              </w:rPr>
            </w:pPr>
            <w:r>
              <w:rPr>
                <w:rFonts w:hint="eastAsia" w:ascii="宋体" w:hAnsi="宋体" w:eastAsia="宋体"/>
                <w:bCs w:val="0"/>
                <w:sz w:val="24"/>
              </w:rPr>
              <w:t>条款名称</w:t>
            </w:r>
          </w:p>
        </w:tc>
        <w:tc>
          <w:tcPr>
            <w:tcW w:w="3522" w:type="pct"/>
            <w:vAlign w:val="center"/>
          </w:tcPr>
          <w:p>
            <w:pPr>
              <w:pStyle w:val="26"/>
              <w:widowControl w:val="0"/>
              <w:spacing w:before="0" w:beforeAutospacing="0" w:after="0" w:afterAutospacing="0" w:line="360" w:lineRule="auto"/>
              <w:rPr>
                <w:rFonts w:ascii="宋体" w:hAnsi="宋体" w:eastAsia="宋体"/>
                <w:bCs w:val="0"/>
                <w:sz w:val="24"/>
              </w:rPr>
            </w:pPr>
            <w:r>
              <w:rPr>
                <w:rFonts w:hint="eastAsia" w:ascii="宋体" w:hAnsi="宋体" w:eastAsia="宋体"/>
                <w:bCs w:val="0"/>
                <w:sz w:val="24"/>
              </w:rPr>
              <w:t>内容、说明与要求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1</w:t>
            </w:r>
          </w:p>
        </w:tc>
        <w:tc>
          <w:tcPr>
            <w:tcW w:w="999" w:type="pct"/>
            <w:vAlign w:val="center"/>
          </w:tcPr>
          <w:p>
            <w:pPr>
              <w:pStyle w:val="26"/>
              <w:widowControl w:val="0"/>
              <w:spacing w:before="0" w:beforeAutospacing="0" w:after="0" w:afterAutospacing="0" w:line="360" w:lineRule="auto"/>
              <w:rPr>
                <w:rFonts w:ascii="宋体" w:hAnsi="宋体" w:eastAsia="宋体"/>
                <w:b w:val="0"/>
                <w:sz w:val="24"/>
              </w:rPr>
            </w:pPr>
            <w:r>
              <w:rPr>
                <w:rFonts w:hint="eastAsia" w:ascii="宋体" w:hAnsi="宋体" w:eastAsia="宋体"/>
                <w:b w:val="0"/>
                <w:sz w:val="24"/>
              </w:rPr>
              <w:t>付款方式</w:t>
            </w:r>
          </w:p>
        </w:tc>
        <w:tc>
          <w:tcPr>
            <w:tcW w:w="3522" w:type="pct"/>
            <w:vAlign w:val="center"/>
          </w:tcPr>
          <w:p>
            <w:pPr>
              <w:snapToGrid w:val="0"/>
              <w:spacing w:line="360" w:lineRule="auto"/>
              <w:rPr>
                <w:rFonts w:ascii="宋体" w:hAnsi="宋体" w:eastAsia="宋体"/>
                <w:bCs/>
                <w:kern w:val="0"/>
                <w:sz w:val="24"/>
                <w:szCs w:val="24"/>
              </w:rPr>
            </w:pPr>
            <w:r>
              <w:rPr>
                <w:rFonts w:hint="eastAsia" w:ascii="宋体" w:hAnsi="宋体" w:eastAsia="宋体"/>
                <w:bCs/>
                <w:kern w:val="0"/>
                <w:sz w:val="24"/>
                <w:szCs w:val="24"/>
              </w:rPr>
              <w:t>1.结算金额</w:t>
            </w:r>
            <w:r>
              <w:rPr>
                <w:rFonts w:ascii="宋体" w:hAnsi="宋体" w:eastAsia="宋体"/>
                <w:bCs/>
                <w:kern w:val="0"/>
                <w:sz w:val="24"/>
                <w:szCs w:val="24"/>
              </w:rPr>
              <w:t>=</w:t>
            </w:r>
            <w:r>
              <w:rPr>
                <w:rFonts w:hint="eastAsia" w:ascii="宋体" w:hAnsi="宋体" w:eastAsia="宋体"/>
                <w:sz w:val="24"/>
              </w:rPr>
              <w:t>经审计的</w:t>
            </w:r>
            <w:r>
              <w:rPr>
                <w:rFonts w:ascii="宋体" w:hAnsi="宋体" w:eastAsia="宋体"/>
                <w:sz w:val="24"/>
              </w:rPr>
              <w:t>结算金额±Σ违约金。</w:t>
            </w:r>
          </w:p>
          <w:p>
            <w:pPr>
              <w:snapToGrid w:val="0"/>
              <w:spacing w:line="360" w:lineRule="auto"/>
              <w:rPr>
                <w:rFonts w:ascii="宋体" w:hAnsi="宋体" w:eastAsia="宋体"/>
                <w:bCs/>
                <w:kern w:val="0"/>
                <w:sz w:val="24"/>
                <w:szCs w:val="24"/>
              </w:rPr>
            </w:pPr>
            <w:r>
              <w:rPr>
                <w:rFonts w:hint="eastAsia" w:ascii="宋体" w:hAnsi="宋体" w:eastAsia="宋体"/>
                <w:bCs/>
                <w:kern w:val="0"/>
                <w:sz w:val="24"/>
                <w:szCs w:val="24"/>
              </w:rPr>
              <w:t>1.1服务费不因实施范围变化、施工工期的延长、施工总价调整、人工费涨跌、物价波动、国家或地方政府法律法规变动、国家或地方政府相关部门发布的任何调价文件而调整。</w:t>
            </w:r>
          </w:p>
          <w:p>
            <w:pPr>
              <w:snapToGrid w:val="0"/>
              <w:spacing w:line="360" w:lineRule="auto"/>
              <w:rPr>
                <w:rFonts w:ascii="宋体" w:hAnsi="宋体" w:eastAsia="宋体"/>
                <w:bCs/>
                <w:kern w:val="0"/>
                <w:sz w:val="24"/>
                <w:szCs w:val="24"/>
              </w:rPr>
            </w:pPr>
            <w:r>
              <w:rPr>
                <w:rFonts w:hint="eastAsia" w:ascii="宋体" w:hAnsi="宋体" w:eastAsia="宋体"/>
                <w:bCs/>
                <w:kern w:val="0"/>
                <w:sz w:val="24"/>
                <w:szCs w:val="24"/>
              </w:rPr>
              <w:t>1.2</w:t>
            </w:r>
            <w:r>
              <w:rPr>
                <w:rFonts w:ascii="宋体" w:hAnsi="宋体" w:eastAsia="宋体"/>
                <w:bCs/>
                <w:kern w:val="0"/>
                <w:sz w:val="24"/>
                <w:szCs w:val="24"/>
              </w:rPr>
              <w:t>违约金及其他费用</w:t>
            </w:r>
            <w:r>
              <w:rPr>
                <w:rFonts w:hint="eastAsia" w:ascii="宋体" w:hAnsi="宋体" w:eastAsia="宋体"/>
                <w:bCs/>
                <w:kern w:val="0"/>
                <w:sz w:val="24"/>
                <w:szCs w:val="24"/>
              </w:rPr>
              <w:t>按违约责任约定执行，并在支付过程中予以扣除（若有）。</w:t>
            </w:r>
          </w:p>
          <w:p>
            <w:pPr>
              <w:snapToGrid w:val="0"/>
              <w:spacing w:line="360" w:lineRule="auto"/>
              <w:rPr>
                <w:rFonts w:ascii="宋体" w:hAnsi="宋体" w:eastAsia="宋体"/>
                <w:bCs/>
                <w:kern w:val="0"/>
                <w:sz w:val="24"/>
                <w:szCs w:val="24"/>
              </w:rPr>
            </w:pPr>
            <w:r>
              <w:rPr>
                <w:rFonts w:hint="eastAsia" w:ascii="宋体" w:hAnsi="宋体" w:eastAsia="宋体"/>
                <w:kern w:val="0"/>
                <w:sz w:val="24"/>
                <w:szCs w:val="24"/>
              </w:rPr>
              <w:t>1.3中标价不超过项目最高限价。</w:t>
            </w:r>
          </w:p>
          <w:p>
            <w:pPr>
              <w:pStyle w:val="2"/>
              <w:spacing w:line="360" w:lineRule="auto"/>
              <w:rPr>
                <w:rFonts w:ascii="宋体" w:hAnsi="宋体" w:eastAsia="宋体" w:cs="@仿宋_GB2312"/>
                <w:b w:val="0"/>
                <w:bCs/>
                <w:sz w:val="24"/>
                <w:szCs w:val="24"/>
              </w:rPr>
            </w:pPr>
            <w:r>
              <w:rPr>
                <w:rFonts w:hint="eastAsia" w:ascii="宋体" w:hAnsi="宋体" w:eastAsia="宋体" w:cs="@仿宋_GB2312"/>
                <w:b w:val="0"/>
                <w:bCs/>
                <w:sz w:val="24"/>
                <w:szCs w:val="24"/>
              </w:rPr>
              <w:t>合同履行期间</w:t>
            </w:r>
            <w:r>
              <w:rPr>
                <w:rFonts w:hint="eastAsia" w:ascii="宋体" w:hAnsi="宋体" w:eastAsia="宋体"/>
                <w:b w:val="0"/>
                <w:sz w:val="24"/>
              </w:rPr>
              <w:t>，不因其他原因对中</w:t>
            </w:r>
            <w:r>
              <w:rPr>
                <w:rFonts w:hint="eastAsia" w:ascii="宋体" w:hAnsi="宋体" w:eastAsia="宋体" w:cs="@仿宋_GB2312"/>
                <w:b w:val="0"/>
                <w:bCs/>
                <w:sz w:val="24"/>
                <w:szCs w:val="24"/>
              </w:rPr>
              <w:t>标总价作出调整。</w:t>
            </w:r>
          </w:p>
          <w:p>
            <w:pPr>
              <w:pStyle w:val="2"/>
              <w:spacing w:line="360" w:lineRule="auto"/>
              <w:rPr>
                <w:rFonts w:ascii="宋体" w:hAnsi="宋体" w:eastAsia="宋体" w:cs="@仿宋_GB2312"/>
                <w:b w:val="0"/>
                <w:bCs/>
                <w:sz w:val="24"/>
                <w:szCs w:val="24"/>
              </w:rPr>
            </w:pPr>
            <w:r>
              <w:rPr>
                <w:rFonts w:hint="eastAsia" w:ascii="宋体" w:hAnsi="宋体" w:eastAsia="宋体" w:cs="@仿宋_GB2312"/>
                <w:b w:val="0"/>
                <w:bCs/>
                <w:sz w:val="24"/>
                <w:szCs w:val="24"/>
              </w:rPr>
              <w:t>2</w:t>
            </w:r>
            <w:r>
              <w:rPr>
                <w:rFonts w:ascii="宋体" w:hAnsi="宋体" w:eastAsia="宋体" w:cs="@仿宋_GB2312"/>
                <w:b w:val="0"/>
                <w:bCs/>
                <w:sz w:val="24"/>
                <w:szCs w:val="24"/>
              </w:rPr>
              <w:t>.</w:t>
            </w:r>
            <w:r>
              <w:rPr>
                <w:rFonts w:hint="eastAsia" w:ascii="宋体" w:hAnsi="宋体" w:eastAsia="宋体" w:cs="@仿宋_GB2312"/>
                <w:b w:val="0"/>
                <w:bCs/>
                <w:sz w:val="24"/>
                <w:szCs w:val="24"/>
              </w:rPr>
              <w:t>服务费支付方式：</w:t>
            </w:r>
          </w:p>
          <w:p>
            <w:pPr>
              <w:spacing w:line="360" w:lineRule="auto"/>
              <w:rPr>
                <w:rFonts w:ascii="宋体" w:hAnsi="宋体" w:eastAsia="宋体"/>
                <w:bCs/>
                <w:kern w:val="0"/>
                <w:sz w:val="24"/>
                <w:szCs w:val="24"/>
              </w:rPr>
            </w:pPr>
            <w:r>
              <w:rPr>
                <w:rFonts w:hint="eastAsia" w:ascii="宋体" w:hAnsi="宋体" w:eastAsia="宋体"/>
                <w:bCs/>
                <w:kern w:val="0"/>
                <w:sz w:val="24"/>
                <w:szCs w:val="24"/>
              </w:rPr>
              <w:t>（1）签订合同后60个工作日内支付签约合同金额的5%，</w:t>
            </w:r>
            <w:r>
              <w:rPr>
                <w:rFonts w:hint="eastAsia" w:ascii="宋体" w:hAnsi="宋体" w:eastAsia="宋体"/>
                <w:sz w:val="24"/>
              </w:rPr>
              <w:t>各片区</w:t>
            </w:r>
            <w:r>
              <w:rPr>
                <w:rFonts w:hint="eastAsia" w:ascii="宋体" w:hAnsi="宋体" w:eastAsia="宋体"/>
                <w:bCs/>
                <w:kern w:val="0"/>
                <w:sz w:val="24"/>
                <w:szCs w:val="24"/>
              </w:rPr>
              <w:t>场内效果评估工作</w:t>
            </w:r>
            <w:r>
              <w:rPr>
                <w:rFonts w:ascii="宋体" w:hAnsi="宋体" w:eastAsia="宋体" w:cs="宋体"/>
                <w:sz w:val="24"/>
                <w:szCs w:val="24"/>
              </w:rPr>
              <w:t>全部</w:t>
            </w:r>
            <w:r>
              <w:rPr>
                <w:rFonts w:hint="eastAsia" w:ascii="宋体" w:hAnsi="宋体" w:eastAsia="宋体"/>
                <w:bCs/>
                <w:kern w:val="0"/>
                <w:sz w:val="24"/>
                <w:szCs w:val="24"/>
              </w:rPr>
              <w:t>完成后</w:t>
            </w:r>
            <w:r>
              <w:rPr>
                <w:rFonts w:ascii="宋体" w:hAnsi="宋体" w:eastAsia="宋体" w:cs="宋体"/>
                <w:sz w:val="24"/>
                <w:szCs w:val="24"/>
              </w:rPr>
              <w:t>60个工作日内，支付至签约合同金额的50%</w:t>
            </w:r>
            <w:r>
              <w:rPr>
                <w:rFonts w:hint="eastAsia" w:ascii="宋体" w:hAnsi="宋体" w:eastAsia="宋体" w:cs="宋体"/>
                <w:sz w:val="24"/>
                <w:szCs w:val="24"/>
              </w:rPr>
              <w:t>；</w:t>
            </w:r>
            <w:r>
              <w:rPr>
                <w:rFonts w:hint="eastAsia" w:ascii="宋体" w:hAnsi="宋体" w:eastAsia="宋体"/>
                <w:sz w:val="24"/>
              </w:rPr>
              <w:t>各片区</w:t>
            </w:r>
            <w:r>
              <w:rPr>
                <w:rFonts w:hint="eastAsia" w:ascii="宋体" w:hAnsi="宋体" w:eastAsia="宋体"/>
                <w:bCs/>
                <w:kern w:val="0"/>
                <w:sz w:val="24"/>
                <w:szCs w:val="24"/>
              </w:rPr>
              <w:t>场外效果评估工作</w:t>
            </w:r>
            <w:r>
              <w:rPr>
                <w:rFonts w:ascii="宋体" w:hAnsi="宋体" w:eastAsia="宋体" w:cs="宋体"/>
                <w:sz w:val="24"/>
                <w:szCs w:val="24"/>
              </w:rPr>
              <w:t>全部</w:t>
            </w:r>
            <w:r>
              <w:rPr>
                <w:rFonts w:hint="eastAsia" w:ascii="宋体" w:hAnsi="宋体" w:eastAsia="宋体"/>
                <w:bCs/>
                <w:kern w:val="0"/>
                <w:sz w:val="24"/>
                <w:szCs w:val="24"/>
              </w:rPr>
              <w:t>完成且效果评估报告通过生态环境主管部门组织的专家评审后</w:t>
            </w:r>
            <w:r>
              <w:rPr>
                <w:rFonts w:ascii="宋体" w:hAnsi="宋体" w:eastAsia="宋体" w:cs="宋体"/>
                <w:sz w:val="24"/>
                <w:szCs w:val="24"/>
              </w:rPr>
              <w:t>60个工作日内，支付至签约合同金额的70%</w:t>
            </w:r>
            <w:r>
              <w:rPr>
                <w:rFonts w:hint="eastAsia" w:ascii="宋体" w:hAnsi="宋体" w:eastAsia="宋体" w:cs="宋体"/>
                <w:sz w:val="24"/>
                <w:szCs w:val="24"/>
              </w:rPr>
              <w:t>；工程项目</w:t>
            </w:r>
            <w:r>
              <w:rPr>
                <w:rFonts w:ascii="宋体" w:hAnsi="宋体" w:eastAsia="宋体" w:cs="宋体"/>
                <w:sz w:val="24"/>
                <w:szCs w:val="24"/>
              </w:rPr>
              <w:t>移出安徽省建设用地土壤污染风险管控</w:t>
            </w:r>
            <w:r>
              <w:rPr>
                <w:rFonts w:hint="eastAsia" w:ascii="宋体" w:hAnsi="宋体" w:eastAsia="宋体" w:cs="宋体"/>
                <w:sz w:val="24"/>
                <w:szCs w:val="24"/>
              </w:rPr>
              <w:t>和修复</w:t>
            </w:r>
            <w:r>
              <w:rPr>
                <w:rFonts w:ascii="宋体" w:hAnsi="宋体" w:eastAsia="宋体" w:cs="宋体"/>
                <w:sz w:val="24"/>
                <w:szCs w:val="24"/>
              </w:rPr>
              <w:t>名录后，完成竣工结算并出具审计报告后60个工作日内，支付至结算总价的97%</w:t>
            </w:r>
            <w:r>
              <w:rPr>
                <w:rFonts w:ascii="宋体" w:hAnsi="宋体" w:eastAsia="宋体"/>
                <w:sz w:val="24"/>
              </w:rPr>
              <w:t>。</w:t>
            </w:r>
          </w:p>
          <w:p>
            <w:pPr>
              <w:spacing w:line="360" w:lineRule="auto"/>
              <w:rPr>
                <w:rFonts w:ascii="宋体" w:hAnsi="宋体" w:eastAsia="宋体"/>
                <w:bCs/>
                <w:kern w:val="0"/>
                <w:sz w:val="24"/>
                <w:szCs w:val="24"/>
              </w:rPr>
            </w:pPr>
            <w:r>
              <w:rPr>
                <w:rFonts w:hint="eastAsia" w:ascii="宋体" w:hAnsi="宋体" w:eastAsia="宋体"/>
                <w:bCs/>
                <w:kern w:val="0"/>
                <w:sz w:val="24"/>
                <w:szCs w:val="24"/>
              </w:rPr>
              <w:t>（2）质保金：暂扣结算总价的3%作为项目质保金，</w:t>
            </w:r>
            <w:r>
              <w:rPr>
                <w:rFonts w:hint="eastAsia" w:ascii="宋体" w:hAnsi="宋体" w:eastAsia="宋体"/>
                <w:sz w:val="24"/>
              </w:rPr>
              <w:t>缺陷责任期</w:t>
            </w:r>
            <w:r>
              <w:rPr>
                <w:rFonts w:ascii="宋体" w:hAnsi="宋体" w:eastAsia="宋体"/>
                <w:sz w:val="24"/>
              </w:rPr>
              <w:t>内</w:t>
            </w:r>
            <w:r>
              <w:rPr>
                <w:rFonts w:hint="eastAsia" w:ascii="宋体" w:hAnsi="宋体" w:eastAsia="宋体"/>
                <w:bCs/>
                <w:kern w:val="0"/>
                <w:sz w:val="24"/>
                <w:szCs w:val="24"/>
              </w:rPr>
              <w:t>无项目质量问题及投诉（恶意投诉除外），支付3%质保金，不计利息。</w:t>
            </w:r>
          </w:p>
          <w:p>
            <w:pPr>
              <w:pStyle w:val="2"/>
              <w:spacing w:line="360" w:lineRule="auto"/>
              <w:rPr>
                <w:rFonts w:ascii="宋体" w:hAnsi="宋体" w:eastAsia="宋体" w:cs="@仿宋_GB2312"/>
                <w:b w:val="0"/>
                <w:bCs/>
                <w:sz w:val="24"/>
                <w:szCs w:val="24"/>
              </w:rPr>
            </w:pPr>
            <w:r>
              <w:rPr>
                <w:rFonts w:hint="eastAsia" w:ascii="宋体" w:hAnsi="宋体" w:eastAsia="宋体" w:cs="@仿宋_GB2312"/>
                <w:b w:val="0"/>
                <w:bCs/>
                <w:sz w:val="24"/>
                <w:szCs w:val="24"/>
              </w:rPr>
              <w:t>如本项目有国家审计（或财政评审），承包人有配合国家审计（或财政评审）的义务，并按审计报告或审计决定执行。</w:t>
            </w:r>
          </w:p>
          <w:p>
            <w:pPr>
              <w:pStyle w:val="26"/>
              <w:widowControl w:val="0"/>
              <w:spacing w:before="0" w:beforeAutospacing="0" w:after="0" w:afterAutospacing="0" w:line="360" w:lineRule="auto"/>
              <w:jc w:val="left"/>
              <w:rPr>
                <w:rFonts w:ascii="宋体" w:hAnsi="宋体" w:eastAsia="宋体"/>
                <w:b w:val="0"/>
                <w:sz w:val="24"/>
                <w:szCs w:val="24"/>
              </w:rPr>
            </w:pPr>
            <w:r>
              <w:rPr>
                <w:rFonts w:hint="eastAsia" w:ascii="宋体" w:hAnsi="宋体" w:eastAsia="宋体"/>
                <w:b w:val="0"/>
                <w:sz w:val="24"/>
              </w:rPr>
              <w:t>注册地不在合肥市行政区域范围（含四县一市）的中标人，应按照《纳税人跨县（市、区）提供建筑服务增值税征收管理暂行办法》（国家税务总局公告2016年第17号）规定，在建筑服务发生地及时足额预缴增值税。发包人支付前，承包人须提供相应金额的合法有效增值税发票和在项目所在地预缴税发票凭证，否则支付时间顺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2</w:t>
            </w:r>
          </w:p>
        </w:tc>
        <w:tc>
          <w:tcPr>
            <w:tcW w:w="999" w:type="pct"/>
            <w:vAlign w:val="center"/>
          </w:tcPr>
          <w:p>
            <w:pPr>
              <w:pStyle w:val="26"/>
              <w:widowControl w:val="0"/>
              <w:spacing w:before="0" w:beforeAutospacing="0" w:after="0" w:afterAutospacing="0" w:line="360" w:lineRule="auto"/>
              <w:rPr>
                <w:rFonts w:ascii="宋体" w:hAnsi="宋体" w:eastAsia="宋体"/>
                <w:b w:val="0"/>
                <w:sz w:val="24"/>
              </w:rPr>
            </w:pPr>
            <w:r>
              <w:rPr>
                <w:rFonts w:hint="eastAsia" w:ascii="宋体" w:hAnsi="宋体" w:eastAsia="宋体"/>
                <w:b w:val="0"/>
                <w:sz w:val="24"/>
              </w:rPr>
              <w:t>服务地点</w:t>
            </w:r>
          </w:p>
        </w:tc>
        <w:tc>
          <w:tcPr>
            <w:tcW w:w="3522" w:type="pct"/>
            <w:vAlign w:val="center"/>
          </w:tcPr>
          <w:p>
            <w:pPr>
              <w:pStyle w:val="26"/>
              <w:widowControl w:val="0"/>
              <w:spacing w:before="0" w:beforeAutospacing="0" w:after="0" w:afterAutospacing="0" w:line="360" w:lineRule="auto"/>
              <w:jc w:val="both"/>
              <w:rPr>
                <w:rFonts w:ascii="宋体" w:hAnsi="宋体" w:eastAsia="宋体"/>
                <w:b w:val="0"/>
                <w:sz w:val="24"/>
                <w:szCs w:val="24"/>
              </w:rPr>
            </w:pPr>
            <w:r>
              <w:rPr>
                <w:rFonts w:hint="eastAsia" w:ascii="宋体" w:hAnsi="宋体" w:eastAsia="宋体"/>
                <w:b w:val="0"/>
                <w:sz w:val="24"/>
                <w:szCs w:val="24"/>
              </w:rPr>
              <w:t>合肥市瑶海区大兴镇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3</w:t>
            </w:r>
          </w:p>
        </w:tc>
        <w:tc>
          <w:tcPr>
            <w:tcW w:w="999" w:type="pct"/>
            <w:vAlign w:val="center"/>
          </w:tcPr>
          <w:p>
            <w:pPr>
              <w:pStyle w:val="26"/>
              <w:widowControl w:val="0"/>
              <w:spacing w:before="0" w:beforeAutospacing="0" w:after="0" w:afterAutospacing="0" w:line="360" w:lineRule="auto"/>
              <w:rPr>
                <w:rFonts w:ascii="宋体" w:hAnsi="宋体" w:eastAsia="宋体"/>
                <w:b w:val="0"/>
                <w:sz w:val="24"/>
              </w:rPr>
            </w:pPr>
            <w:r>
              <w:rPr>
                <w:rFonts w:hint="eastAsia" w:ascii="宋体" w:hAnsi="宋体" w:eastAsia="宋体"/>
                <w:b w:val="0"/>
                <w:sz w:val="24"/>
              </w:rPr>
              <w:t>服务期限</w:t>
            </w:r>
          </w:p>
        </w:tc>
        <w:tc>
          <w:tcPr>
            <w:tcW w:w="3522" w:type="pct"/>
            <w:vAlign w:val="center"/>
          </w:tcPr>
          <w:p>
            <w:pPr>
              <w:pStyle w:val="26"/>
              <w:spacing w:before="0" w:beforeAutospacing="0" w:after="0" w:afterAutospacing="0" w:line="360" w:lineRule="auto"/>
              <w:jc w:val="left"/>
              <w:rPr>
                <w:rFonts w:ascii="宋体" w:hAnsi="宋体" w:eastAsia="宋体"/>
                <w:b w:val="0"/>
                <w:sz w:val="24"/>
                <w:szCs w:val="24"/>
              </w:rPr>
            </w:pPr>
            <w:r>
              <w:rPr>
                <w:rFonts w:hint="eastAsia" w:ascii="宋体" w:hAnsi="宋体" w:eastAsia="宋体"/>
                <w:b w:val="0"/>
                <w:sz w:val="24"/>
                <w:szCs w:val="24"/>
              </w:rPr>
              <w:t>效果评估服务期与本项目治理工期同步。</w:t>
            </w:r>
            <w:r>
              <w:rPr>
                <w:rFonts w:hint="eastAsia" w:ascii="宋体" w:hAnsi="宋体" w:eastAsia="宋体"/>
                <w:b w:val="0"/>
                <w:sz w:val="24"/>
              </w:rPr>
              <w:t>从合同签订之日起至</w:t>
            </w:r>
            <w:r>
              <w:rPr>
                <w:rFonts w:hint="eastAsia" w:ascii="宋体" w:hAnsi="宋体" w:eastAsia="宋体"/>
                <w:b w:val="0"/>
                <w:sz w:val="24"/>
                <w:szCs w:val="24"/>
              </w:rPr>
              <w:t>污染土壤处置完成、通过生态环境主管部门验收且取得批复文件并移出安徽省建设用地土壤污染风险管控和修复名录。</w:t>
            </w:r>
          </w:p>
          <w:p>
            <w:pPr>
              <w:pStyle w:val="26"/>
              <w:widowControl w:val="0"/>
              <w:spacing w:before="0" w:beforeAutospacing="0" w:after="0" w:afterAutospacing="0" w:line="360" w:lineRule="auto"/>
              <w:jc w:val="left"/>
              <w:rPr>
                <w:rFonts w:ascii="宋体" w:hAnsi="宋体" w:eastAsia="宋体"/>
                <w:b w:val="0"/>
                <w:sz w:val="24"/>
                <w:szCs w:val="24"/>
              </w:rPr>
            </w:pPr>
            <w:r>
              <w:rPr>
                <w:rFonts w:hint="eastAsia" w:ascii="宋体" w:hAnsi="宋体" w:eastAsia="宋体"/>
                <w:b w:val="0"/>
                <w:sz w:val="24"/>
                <w:szCs w:val="24"/>
              </w:rPr>
              <w:t>在修复施工单位完成优先修复地铁</w:t>
            </w:r>
            <w:r>
              <w:rPr>
                <w:rFonts w:ascii="宋体" w:hAnsi="宋体" w:eastAsia="宋体"/>
                <w:b w:val="0"/>
                <w:sz w:val="24"/>
                <w:szCs w:val="24"/>
              </w:rPr>
              <w:t>6号线部分污染土壤开挖处置，基坑达到效果评估条件后，10</w:t>
            </w:r>
            <w:r>
              <w:rPr>
                <w:rFonts w:hint="eastAsia" w:ascii="宋体" w:hAnsi="宋体" w:eastAsia="宋体" w:cs="宋体"/>
                <w:b w:val="0"/>
                <w:bCs w:val="0"/>
                <w:color w:val="000000"/>
                <w:sz w:val="24"/>
                <w:szCs w:val="24"/>
              </w:rPr>
              <w:t>个</w:t>
            </w:r>
            <w:r>
              <w:rPr>
                <w:rFonts w:hint="eastAsia" w:ascii="宋体" w:hAnsi="宋体" w:eastAsia="宋体"/>
                <w:b w:val="0"/>
                <w:sz w:val="24"/>
              </w:rPr>
              <w:t>日历天</w:t>
            </w:r>
            <w:r>
              <w:rPr>
                <w:rFonts w:ascii="宋体" w:hAnsi="宋体" w:eastAsia="宋体"/>
                <w:b w:val="0"/>
                <w:sz w:val="24"/>
                <w:szCs w:val="24"/>
              </w:rPr>
              <w:t>内完成效果评估并形成效果评估报告。</w:t>
            </w:r>
          </w:p>
          <w:p>
            <w:pPr>
              <w:pStyle w:val="26"/>
              <w:widowControl w:val="0"/>
              <w:spacing w:before="0" w:beforeAutospacing="0" w:after="0" w:afterAutospacing="0" w:line="360" w:lineRule="auto"/>
              <w:jc w:val="left"/>
              <w:rPr>
                <w:rFonts w:ascii="宋体" w:hAnsi="宋体" w:eastAsia="宋体"/>
                <w:b w:val="0"/>
                <w:sz w:val="24"/>
                <w:szCs w:val="24"/>
              </w:rPr>
            </w:pPr>
            <w:r>
              <w:rPr>
                <w:rFonts w:hint="eastAsia" w:ascii="宋体" w:hAnsi="宋体" w:eastAsia="宋体"/>
                <w:b w:val="0"/>
                <w:sz w:val="24"/>
                <w:szCs w:val="24"/>
              </w:rPr>
              <w:t>缺陷责任期：</w:t>
            </w:r>
            <w:r>
              <w:rPr>
                <w:rFonts w:ascii="宋体" w:hAnsi="宋体" w:eastAsia="宋体"/>
                <w:b w:val="0"/>
                <w:sz w:val="24"/>
              </w:rPr>
              <w:t>24个月（</w:t>
            </w:r>
            <w:r>
              <w:rPr>
                <w:rFonts w:hint="eastAsia" w:ascii="宋体" w:hAnsi="宋体" w:eastAsia="宋体"/>
                <w:b w:val="0"/>
                <w:sz w:val="24"/>
              </w:rPr>
              <w:t>自移出安徽省建设用地土壤污染风险管控和修复名录后两年内无项目质量问题及投诉（恶意投诉除外）</w:t>
            </w:r>
            <w:r>
              <w:rPr>
                <w:rFonts w:ascii="宋体" w:hAnsi="宋体" w:eastAsia="宋体"/>
                <w:b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4</w:t>
            </w:r>
          </w:p>
        </w:tc>
        <w:tc>
          <w:tcPr>
            <w:tcW w:w="999" w:type="pct"/>
            <w:vAlign w:val="center"/>
          </w:tcPr>
          <w:p>
            <w:pPr>
              <w:pStyle w:val="26"/>
              <w:widowControl w:val="0"/>
              <w:spacing w:before="0" w:beforeAutospacing="0" w:after="0" w:afterAutospacing="0" w:line="360" w:lineRule="auto"/>
              <w:rPr>
                <w:rFonts w:ascii="宋体" w:hAnsi="宋体" w:eastAsia="宋体"/>
                <w:b w:val="0"/>
                <w:sz w:val="24"/>
              </w:rPr>
            </w:pPr>
            <w:r>
              <w:rPr>
                <w:rFonts w:hint="eastAsia" w:ascii="宋体" w:hAnsi="宋体" w:eastAsia="宋体"/>
                <w:b w:val="0"/>
                <w:sz w:val="24"/>
              </w:rPr>
              <w:t>本项目采购标的所属行业</w:t>
            </w:r>
          </w:p>
        </w:tc>
        <w:tc>
          <w:tcPr>
            <w:tcW w:w="3522" w:type="pct"/>
            <w:vAlign w:val="center"/>
          </w:tcPr>
          <w:p>
            <w:pPr>
              <w:pStyle w:val="26"/>
              <w:widowControl w:val="0"/>
              <w:spacing w:before="0" w:beforeAutospacing="0" w:after="0" w:afterAutospacing="0" w:line="360" w:lineRule="auto"/>
              <w:jc w:val="both"/>
              <w:rPr>
                <w:rFonts w:ascii="宋体" w:hAnsi="宋体" w:eastAsia="宋体"/>
                <w:b w:val="0"/>
                <w:sz w:val="24"/>
                <w:szCs w:val="24"/>
              </w:rPr>
            </w:pPr>
            <w:r>
              <w:rPr>
                <w:rFonts w:hint="eastAsia" w:ascii="宋体" w:hAnsi="宋体" w:eastAsia="宋体"/>
                <w:b w:val="0"/>
                <w:sz w:val="24"/>
              </w:rPr>
              <w:t>其他未列明行业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5</w:t>
            </w:r>
          </w:p>
        </w:tc>
        <w:tc>
          <w:tcPr>
            <w:tcW w:w="999" w:type="pct"/>
            <w:vAlign w:val="center"/>
          </w:tcPr>
          <w:p>
            <w:pPr>
              <w:pStyle w:val="26"/>
              <w:widowControl w:val="0"/>
              <w:spacing w:before="0" w:beforeAutospacing="0" w:after="0" w:afterAutospacing="0" w:line="360" w:lineRule="auto"/>
              <w:rPr>
                <w:rFonts w:ascii="宋体" w:hAnsi="宋体" w:eastAsia="宋体"/>
                <w:b w:val="0"/>
                <w:sz w:val="24"/>
              </w:rPr>
            </w:pPr>
            <w:r>
              <w:rPr>
                <w:rFonts w:hint="eastAsia" w:eastAsia="宋体" w:cs="宋体"/>
                <w:b w:val="0"/>
                <w:sz w:val="24"/>
                <w:szCs w:val="24"/>
              </w:rPr>
              <w:t>项目负责人（1人）资质</w:t>
            </w:r>
          </w:p>
        </w:tc>
        <w:tc>
          <w:tcPr>
            <w:tcW w:w="3522" w:type="pct"/>
            <w:vAlign w:val="center"/>
          </w:tcPr>
          <w:p>
            <w:pPr>
              <w:spacing w:line="360" w:lineRule="auto"/>
              <w:rPr>
                <w:rFonts w:ascii="Times New Roman" w:hAnsi="Times New Roman" w:eastAsia="宋体" w:cs="宋体"/>
                <w:bCs/>
                <w:kern w:val="0"/>
                <w:sz w:val="24"/>
                <w:szCs w:val="24"/>
              </w:rPr>
            </w:pPr>
            <w:r>
              <w:rPr>
                <w:rFonts w:hint="eastAsia" w:ascii="Times New Roman" w:hAnsi="Times New Roman" w:eastAsia="宋体" w:cs="宋体"/>
                <w:b/>
                <w:kern w:val="0"/>
                <w:sz w:val="24"/>
                <w:szCs w:val="24"/>
              </w:rPr>
              <w:t>同时满足</w:t>
            </w:r>
            <w:r>
              <w:rPr>
                <w:rFonts w:hint="eastAsia" w:ascii="Times New Roman" w:hAnsi="Times New Roman" w:eastAsia="宋体" w:cs="宋体"/>
                <w:bCs/>
                <w:kern w:val="0"/>
                <w:sz w:val="24"/>
                <w:szCs w:val="24"/>
              </w:rPr>
              <w:t>以下要求：</w:t>
            </w:r>
          </w:p>
          <w:p>
            <w:pPr>
              <w:spacing w:line="360" w:lineRule="auto"/>
              <w:rPr>
                <w:rFonts w:ascii="宋体" w:hAnsi="宋体" w:eastAsia="宋体" w:cs="宋体"/>
                <w:bCs/>
                <w:kern w:val="0"/>
                <w:sz w:val="24"/>
                <w:szCs w:val="24"/>
              </w:rPr>
            </w:pPr>
            <w:r>
              <w:rPr>
                <w:rFonts w:hint="eastAsia" w:ascii="宋体" w:hAnsi="宋体" w:eastAsia="宋体" w:cs="宋体"/>
                <w:bCs/>
                <w:kern w:val="0"/>
                <w:sz w:val="24"/>
                <w:szCs w:val="24"/>
              </w:rPr>
              <w:t>1.须为投标人本单位职工，</w:t>
            </w:r>
            <w:r>
              <w:rPr>
                <w:rFonts w:hint="eastAsia" w:ascii="宋体" w:hAnsi="宋体" w:eastAsia="宋体" w:cs="宋体"/>
                <w:b/>
                <w:kern w:val="0"/>
                <w:sz w:val="24"/>
                <w:szCs w:val="24"/>
              </w:rPr>
              <w:t>投标文件中提供</w:t>
            </w:r>
            <w:r>
              <w:rPr>
                <w:rFonts w:ascii="宋体" w:hAnsi="宋体" w:eastAsia="宋体" w:cs="宋体"/>
                <w:b/>
                <w:bCs/>
                <w:kern w:val="0"/>
                <w:sz w:val="24"/>
                <w:szCs w:val="24"/>
              </w:rPr>
              <w:t>2021年1月1日</w:t>
            </w:r>
            <w:r>
              <w:rPr>
                <w:rFonts w:hint="eastAsia" w:ascii="宋体" w:hAnsi="宋体" w:eastAsia="宋体" w:cs="宋体"/>
                <w:b/>
                <w:bCs/>
                <w:kern w:val="0"/>
                <w:sz w:val="24"/>
                <w:szCs w:val="24"/>
              </w:rPr>
              <w:t>（含）</w:t>
            </w:r>
            <w:r>
              <w:rPr>
                <w:rFonts w:ascii="宋体" w:hAnsi="宋体" w:eastAsia="宋体" w:cs="宋体"/>
                <w:b/>
                <w:bCs/>
                <w:kern w:val="0"/>
                <w:sz w:val="24"/>
                <w:szCs w:val="24"/>
              </w:rPr>
              <w:t>以来</w:t>
            </w:r>
            <w:r>
              <w:rPr>
                <w:rFonts w:hint="eastAsia" w:ascii="宋体" w:hAnsi="宋体" w:eastAsia="宋体" w:cs="宋体"/>
                <w:b/>
                <w:bCs/>
                <w:kern w:val="0"/>
                <w:sz w:val="24"/>
                <w:szCs w:val="24"/>
              </w:rPr>
              <w:t>任意</w:t>
            </w:r>
            <w:r>
              <w:rPr>
                <w:rFonts w:ascii="宋体" w:hAnsi="宋体" w:eastAsia="宋体" w:cs="宋体"/>
                <w:b/>
                <w:bCs/>
                <w:kern w:val="0"/>
                <w:sz w:val="24"/>
                <w:szCs w:val="24"/>
              </w:rPr>
              <w:t>连续</w:t>
            </w:r>
            <w:r>
              <w:rPr>
                <w:rFonts w:hint="eastAsia" w:ascii="宋体" w:hAnsi="宋体" w:eastAsia="宋体" w:cs="宋体"/>
                <w:b/>
                <w:bCs/>
                <w:kern w:val="0"/>
                <w:sz w:val="24"/>
                <w:szCs w:val="24"/>
              </w:rPr>
              <w:t>三</w:t>
            </w:r>
            <w:r>
              <w:rPr>
                <w:rFonts w:ascii="宋体" w:hAnsi="宋体" w:eastAsia="宋体" w:cs="宋体"/>
                <w:b/>
                <w:bCs/>
                <w:kern w:val="0"/>
                <w:sz w:val="24"/>
                <w:szCs w:val="24"/>
              </w:rPr>
              <w:t>个月的社保证明</w:t>
            </w:r>
            <w:r>
              <w:rPr>
                <w:rFonts w:hint="eastAsia" w:ascii="宋体" w:hAnsi="宋体" w:eastAsia="宋体" w:cs="宋体"/>
                <w:b/>
                <w:bCs/>
                <w:kern w:val="0"/>
                <w:sz w:val="24"/>
                <w:szCs w:val="24"/>
              </w:rPr>
              <w:t>材料，证明材料要求详见投标人须知前附表37.3。</w:t>
            </w:r>
          </w:p>
          <w:p>
            <w:pPr>
              <w:pStyle w:val="2"/>
              <w:spacing w:line="360" w:lineRule="auto"/>
            </w:pPr>
            <w:r>
              <w:rPr>
                <w:rFonts w:ascii="宋体" w:hAnsi="宋体" w:eastAsia="宋体" w:cs="宋体"/>
                <w:b w:val="0"/>
                <w:bCs/>
                <w:sz w:val="24"/>
                <w:szCs w:val="24"/>
              </w:rPr>
              <w:t>2.</w:t>
            </w:r>
            <w:r>
              <w:rPr>
                <w:rFonts w:hint="eastAsia" w:ascii="宋体" w:hAnsi="宋体" w:eastAsia="宋体" w:cs="宋体"/>
                <w:b w:val="0"/>
                <w:bCs/>
                <w:sz w:val="24"/>
                <w:szCs w:val="24"/>
              </w:rPr>
              <w:t>具有环境类或土壤类高级职称证书，</w:t>
            </w:r>
            <w:r>
              <w:rPr>
                <w:rFonts w:hint="eastAsia" w:ascii="宋体" w:hAnsi="宋体" w:eastAsia="宋体" w:cs="宋体"/>
                <w:bCs/>
                <w:sz w:val="24"/>
                <w:szCs w:val="24"/>
              </w:rPr>
              <w:t>投标文件中提供证书扫描件。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6</w:t>
            </w:r>
          </w:p>
        </w:tc>
        <w:tc>
          <w:tcPr>
            <w:tcW w:w="999" w:type="pct"/>
            <w:vAlign w:val="center"/>
          </w:tcPr>
          <w:p>
            <w:pPr>
              <w:pStyle w:val="26"/>
              <w:widowControl w:val="0"/>
              <w:spacing w:before="0" w:beforeAutospacing="0" w:after="0" w:afterAutospacing="0" w:line="360" w:lineRule="auto"/>
              <w:rPr>
                <w:rFonts w:ascii="宋体" w:hAnsi="宋体" w:eastAsia="宋体"/>
                <w:b w:val="0"/>
                <w:sz w:val="24"/>
              </w:rPr>
            </w:pPr>
            <w:r>
              <w:rPr>
                <w:rFonts w:hint="eastAsia" w:ascii="宋体" w:hAnsi="宋体" w:eastAsia="宋体" w:cs="宋体"/>
                <w:b w:val="0"/>
                <w:sz w:val="24"/>
                <w:szCs w:val="24"/>
              </w:rPr>
              <w:t>主要技术人员</w:t>
            </w:r>
          </w:p>
        </w:tc>
        <w:tc>
          <w:tcPr>
            <w:tcW w:w="3522" w:type="pct"/>
            <w:vAlign w:val="center"/>
          </w:tcPr>
          <w:p>
            <w:pPr>
              <w:spacing w:line="360" w:lineRule="auto"/>
              <w:rPr>
                <w:rFonts w:ascii="宋体" w:hAnsi="宋体" w:eastAsia="宋体" w:cs="宋体"/>
                <w:bCs/>
                <w:kern w:val="0"/>
                <w:sz w:val="24"/>
                <w:szCs w:val="24"/>
              </w:rPr>
            </w:pPr>
            <w:r>
              <w:rPr>
                <w:rFonts w:hint="eastAsia" w:ascii="宋体" w:hAnsi="宋体" w:eastAsia="宋体" w:cs="宋体"/>
                <w:bCs/>
                <w:kern w:val="0"/>
                <w:sz w:val="24"/>
                <w:szCs w:val="24"/>
              </w:rPr>
              <w:t>除项目负责人1名外：</w:t>
            </w:r>
          </w:p>
          <w:p>
            <w:pPr>
              <w:spacing w:line="360" w:lineRule="auto"/>
              <w:rPr>
                <w:rFonts w:ascii="宋体" w:hAnsi="宋体" w:eastAsia="宋体" w:cs="宋体"/>
                <w:bCs/>
                <w:kern w:val="0"/>
                <w:sz w:val="24"/>
                <w:szCs w:val="24"/>
              </w:rPr>
            </w:pPr>
            <w:r>
              <w:rPr>
                <w:rFonts w:hint="eastAsia" w:ascii="宋体" w:hAnsi="宋体" w:eastAsia="宋体" w:cs="宋体"/>
                <w:bCs/>
                <w:kern w:val="0"/>
                <w:sz w:val="24"/>
                <w:szCs w:val="24"/>
              </w:rPr>
              <w:t>要求其他项目组人员</w:t>
            </w:r>
            <w:r>
              <w:rPr>
                <w:rFonts w:ascii="宋体" w:hAnsi="宋体" w:eastAsia="宋体" w:cs="宋体"/>
                <w:bCs/>
                <w:kern w:val="0"/>
                <w:sz w:val="24"/>
                <w:szCs w:val="24"/>
              </w:rPr>
              <w:t>4</w:t>
            </w:r>
            <w:r>
              <w:rPr>
                <w:rFonts w:hint="eastAsia" w:ascii="宋体" w:hAnsi="宋体" w:eastAsia="宋体" w:cs="宋体"/>
                <w:bCs/>
                <w:kern w:val="0"/>
                <w:sz w:val="24"/>
                <w:szCs w:val="24"/>
              </w:rPr>
              <w:t>人。</w:t>
            </w:r>
          </w:p>
          <w:p>
            <w:pPr>
              <w:spacing w:line="360" w:lineRule="auto"/>
              <w:rPr>
                <w:rFonts w:ascii="宋体" w:hAnsi="宋体" w:eastAsia="宋体" w:cs="宋体"/>
                <w:b/>
                <w:kern w:val="0"/>
                <w:sz w:val="24"/>
                <w:szCs w:val="24"/>
              </w:rPr>
            </w:pPr>
            <w:r>
              <w:rPr>
                <w:rFonts w:hint="eastAsia" w:ascii="宋体" w:hAnsi="宋体" w:eastAsia="宋体" w:cs="宋体"/>
                <w:b/>
                <w:kern w:val="0"/>
                <w:sz w:val="24"/>
                <w:szCs w:val="24"/>
              </w:rPr>
              <w:t>以上人员须为投标单位职工，本项目所有人员岗位不得互相兼任。</w:t>
            </w:r>
          </w:p>
          <w:p>
            <w:pPr>
              <w:pStyle w:val="2"/>
              <w:spacing w:line="360" w:lineRule="auto"/>
              <w:rPr>
                <w:rFonts w:ascii="宋体" w:hAnsi="宋体" w:eastAsia="宋体" w:cs="宋体"/>
                <w:sz w:val="24"/>
                <w:szCs w:val="24"/>
              </w:rPr>
            </w:pPr>
            <w:r>
              <w:rPr>
                <w:rFonts w:hint="eastAsia" w:ascii="宋体" w:hAnsi="宋体" w:eastAsia="宋体" w:cs="宋体"/>
                <w:sz w:val="24"/>
                <w:szCs w:val="24"/>
              </w:rPr>
              <w:t>以上其他主要技术人员为中标后为本项目配备人员的最低要求，进场后，根据项目实际需要及招标人要求，在此基础上对管理人员进行增加。</w:t>
            </w:r>
          </w:p>
          <w:p>
            <w:pPr>
              <w:pStyle w:val="2"/>
              <w:spacing w:line="360" w:lineRule="auto"/>
              <w:rPr>
                <w:rFonts w:eastAsia="宋体"/>
              </w:rPr>
            </w:pPr>
            <w:r>
              <w:rPr>
                <w:rFonts w:hint="eastAsia" w:ascii="宋体" w:hAnsi="宋体" w:eastAsia="宋体" w:cs="宋体"/>
                <w:sz w:val="24"/>
                <w:szCs w:val="24"/>
              </w:rPr>
              <w:t>以上要求投标人在投标文件中提供承诺即可。如投标人承诺与实际不符，招标人有权不予签订或解除合同，并报公共资源监督管理部门处理。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78" w:type="pct"/>
            <w:vAlign w:val="center"/>
          </w:tcPr>
          <w:p>
            <w:pPr>
              <w:pStyle w:val="27"/>
              <w:pBdr>
                <w:bottom w:val="none" w:color="auto" w:sz="0" w:space="0"/>
              </w:pBdr>
              <w:tabs>
                <w:tab w:val="clear" w:pos="4153"/>
                <w:tab w:val="clear" w:pos="8306"/>
              </w:tabs>
              <w:adjustRightInd/>
              <w:spacing w:line="240" w:lineRule="auto"/>
              <w:textAlignment w:val="auto"/>
              <w:rPr>
                <w:rFonts w:ascii="宋体" w:hAnsi="宋体" w:eastAsia="宋体"/>
                <w:bCs/>
                <w:kern w:val="2"/>
              </w:rPr>
            </w:pPr>
            <w:r>
              <w:rPr>
                <w:rFonts w:hint="eastAsia" w:ascii="宋体" w:hAnsi="宋体" w:eastAsia="宋体"/>
                <w:bCs/>
                <w:kern w:val="2"/>
              </w:rPr>
              <w:t>7</w:t>
            </w:r>
          </w:p>
        </w:tc>
        <w:tc>
          <w:tcPr>
            <w:tcW w:w="999" w:type="pct"/>
            <w:vAlign w:val="center"/>
          </w:tcPr>
          <w:p>
            <w:pPr>
              <w:pStyle w:val="26"/>
              <w:widowControl w:val="0"/>
              <w:spacing w:before="0" w:beforeAutospacing="0" w:after="0" w:afterAutospacing="0" w:line="360" w:lineRule="auto"/>
              <w:rPr>
                <w:rFonts w:ascii="宋体" w:hAnsi="宋体" w:eastAsia="宋体" w:cs="宋体"/>
                <w:b w:val="0"/>
                <w:sz w:val="24"/>
                <w:szCs w:val="24"/>
              </w:rPr>
            </w:pPr>
            <w:r>
              <w:rPr>
                <w:rFonts w:hint="eastAsia" w:ascii="宋体" w:hAnsi="宋体" w:eastAsia="宋体" w:cs="宋体"/>
                <w:b w:val="0"/>
                <w:sz w:val="24"/>
                <w:szCs w:val="24"/>
              </w:rPr>
              <w:t>履职承诺</w:t>
            </w:r>
          </w:p>
        </w:tc>
        <w:tc>
          <w:tcPr>
            <w:tcW w:w="3522" w:type="pct"/>
            <w:vAlign w:val="center"/>
          </w:tcPr>
          <w:p>
            <w:pPr>
              <w:spacing w:line="360" w:lineRule="auto"/>
              <w:ind w:firstLine="480" w:firstLineChars="200"/>
              <w:rPr>
                <w:rFonts w:ascii="宋体" w:hAnsi="宋体" w:eastAsia="宋体" w:cs="宋体"/>
                <w:bCs/>
                <w:kern w:val="0"/>
                <w:sz w:val="24"/>
                <w:szCs w:val="24"/>
              </w:rPr>
            </w:pPr>
            <w:r>
              <w:rPr>
                <w:rFonts w:hint="eastAsia" w:ascii="宋体" w:hAnsi="宋体" w:eastAsia="宋体" w:cs="宋体"/>
                <w:bCs/>
                <w:kern w:val="0"/>
                <w:sz w:val="24"/>
                <w:szCs w:val="24"/>
              </w:rPr>
              <w:t>该项目所配备的项目负责人须做出履职承诺（自行承诺签订合同时拟派的人员必须与投标文件中的人员一致。不能按承诺履约的，</w:t>
            </w:r>
            <w:r>
              <w:rPr>
                <w:rFonts w:ascii="宋体" w:hAnsi="宋体" w:eastAsia="宋体" w:cs="宋体"/>
                <w:sz w:val="24"/>
                <w:szCs w:val="24"/>
              </w:rPr>
              <w:t>按合同相关条款支付违约金并依据</w:t>
            </w:r>
            <w:r>
              <w:rPr>
                <w:rFonts w:hint="eastAsia" w:ascii="宋体" w:hAnsi="宋体" w:eastAsia="宋体" w:cs="宋体"/>
                <w:sz w:val="24"/>
                <w:szCs w:val="24"/>
              </w:rPr>
              <w:t>《</w:t>
            </w:r>
            <w:r>
              <w:rPr>
                <w:rFonts w:hint="eastAsia" w:ascii="宋体" w:hAnsi="宋体" w:eastAsia="宋体"/>
                <w:bCs/>
                <w:kern w:val="0"/>
                <w:sz w:val="24"/>
                <w:szCs w:val="18"/>
              </w:rPr>
              <w:t>建设用地土壤污染风险管控和修复从业单位和个人执业情况信用记录管理办法（试行）》（环土壤〔2021〕53号）</w:t>
            </w:r>
            <w:r>
              <w:rPr>
                <w:rFonts w:ascii="宋体" w:hAnsi="宋体" w:eastAsia="宋体" w:cs="宋体"/>
                <w:sz w:val="24"/>
                <w:szCs w:val="24"/>
              </w:rPr>
              <w:t>将个人执业信用情况上报生态环境主管部门</w:t>
            </w:r>
            <w:r>
              <w:rPr>
                <w:rFonts w:hint="eastAsia" w:ascii="宋体" w:hAnsi="宋体" w:eastAsia="宋体" w:cs="宋体"/>
                <w:bCs/>
                <w:kern w:val="0"/>
                <w:sz w:val="24"/>
                <w:szCs w:val="24"/>
              </w:rPr>
              <w:t>；给</w:t>
            </w:r>
            <w:r>
              <w:rPr>
                <w:rFonts w:hint="eastAsia" w:asciiTheme="minorEastAsia" w:hAnsiTheme="minorEastAsia" w:eastAsiaTheme="minorEastAsia"/>
                <w:bCs/>
                <w:sz w:val="24"/>
                <w:szCs w:val="24"/>
              </w:rPr>
              <w:t>采购人</w:t>
            </w:r>
            <w:r>
              <w:rPr>
                <w:rFonts w:hint="eastAsia" w:ascii="宋体" w:hAnsi="宋体" w:eastAsia="宋体" w:cs="宋体"/>
                <w:bCs/>
                <w:kern w:val="0"/>
                <w:sz w:val="24"/>
                <w:szCs w:val="24"/>
              </w:rPr>
              <w:t>造成损失的，投标人依法承担违约赔偿责任。）</w:t>
            </w:r>
          </w:p>
          <w:p>
            <w:pPr>
              <w:spacing w:line="360" w:lineRule="auto"/>
              <w:ind w:firstLine="480" w:firstLineChars="200"/>
              <w:rPr>
                <w:rFonts w:ascii="宋体" w:hAnsi="宋体" w:eastAsia="宋体" w:cs="宋体"/>
                <w:bCs/>
                <w:kern w:val="0"/>
                <w:sz w:val="24"/>
                <w:szCs w:val="24"/>
              </w:rPr>
            </w:pPr>
            <w:r>
              <w:rPr>
                <w:rFonts w:hint="eastAsia" w:ascii="宋体" w:hAnsi="宋体" w:eastAsia="宋体" w:cs="宋体"/>
                <w:bCs/>
                <w:kern w:val="0"/>
                <w:sz w:val="24"/>
                <w:szCs w:val="24"/>
              </w:rPr>
              <w:t>项目负责人未被禁标的承诺（自行承诺拟派项目负责人未被安徽省相关行政主管部门暂停在皖承揽新业务，若被暂停且参加投标的投标将被否决，给</w:t>
            </w:r>
            <w:r>
              <w:rPr>
                <w:rFonts w:hint="eastAsia" w:asciiTheme="minorEastAsia" w:hAnsiTheme="minorEastAsia" w:eastAsiaTheme="minorEastAsia"/>
                <w:bCs/>
                <w:sz w:val="24"/>
                <w:szCs w:val="24"/>
              </w:rPr>
              <w:t>采购人</w:t>
            </w:r>
            <w:r>
              <w:rPr>
                <w:rFonts w:hint="eastAsia" w:ascii="宋体" w:hAnsi="宋体" w:eastAsia="宋体" w:cs="宋体"/>
                <w:bCs/>
                <w:kern w:val="0"/>
                <w:sz w:val="24"/>
                <w:szCs w:val="24"/>
              </w:rPr>
              <w:t>造成损失的，投标人依法承担违约赔偿责任），承诺格式自拟。否则由评标委员会作否决投标处理。</w:t>
            </w:r>
          </w:p>
          <w:p>
            <w:pPr>
              <w:pStyle w:val="2"/>
              <w:spacing w:line="360" w:lineRule="auto"/>
            </w:pPr>
            <w:r>
              <w:rPr>
                <w:rFonts w:hint="eastAsia" w:ascii="宋体" w:hAnsi="宋体" w:eastAsia="宋体" w:cs="宋体"/>
                <w:sz w:val="24"/>
                <w:szCs w:val="24"/>
              </w:rPr>
              <w:t>注：承诺详见招标文件第六章投标文件格式。该承诺须</w:t>
            </w:r>
            <w:r>
              <w:rPr>
                <w:rFonts w:hint="eastAsia" w:ascii="宋体" w:hAnsi="宋体" w:eastAsia="宋体" w:cs="宋体"/>
                <w:bCs/>
                <w:sz w:val="24"/>
                <w:szCs w:val="24"/>
              </w:rPr>
              <w:t>项目负责人</w:t>
            </w:r>
            <w:r>
              <w:rPr>
                <w:rFonts w:hint="eastAsia" w:ascii="宋体" w:hAnsi="宋体" w:eastAsia="宋体" w:cs="宋体"/>
                <w:sz w:val="24"/>
                <w:szCs w:val="24"/>
              </w:rPr>
              <w:t>签字并加盖投标人公章后扫描上传。</w:t>
            </w:r>
          </w:p>
        </w:tc>
      </w:tr>
    </w:tbl>
    <w:p>
      <w:pPr>
        <w:spacing w:line="360" w:lineRule="auto"/>
        <w:ind w:firstLine="437"/>
        <w:outlineLvl w:val="1"/>
        <w:rPr>
          <w:rFonts w:ascii="宋体" w:hAnsi="宋体" w:eastAsia="宋体"/>
          <w:b/>
          <w:sz w:val="24"/>
          <w:szCs w:val="18"/>
        </w:rPr>
      </w:pPr>
      <w:bookmarkStart w:id="1" w:name="_Hlk16461016"/>
      <w:r>
        <w:rPr>
          <w:rFonts w:hint="eastAsia" w:ascii="宋体" w:hAnsi="宋体" w:eastAsia="宋体"/>
          <w:b/>
          <w:sz w:val="24"/>
          <w:szCs w:val="18"/>
        </w:rPr>
        <w:t>二、项目概况</w:t>
      </w:r>
    </w:p>
    <w:bookmarkEnd w:id="0"/>
    <w:bookmarkEnd w:id="1"/>
    <w:p>
      <w:pPr>
        <w:spacing w:line="360" w:lineRule="auto"/>
        <w:ind w:firstLine="482" w:firstLineChars="200"/>
        <w:rPr>
          <w:rFonts w:asciiTheme="minorEastAsia" w:hAnsiTheme="minorEastAsia" w:eastAsiaTheme="minorEastAsia"/>
          <w:sz w:val="24"/>
        </w:rPr>
      </w:pPr>
      <w:r>
        <w:rPr>
          <w:rFonts w:asciiTheme="minorEastAsia" w:hAnsiTheme="minorEastAsia" w:eastAsiaTheme="minorEastAsia"/>
          <w:b/>
          <w:bCs/>
          <w:sz w:val="24"/>
        </w:rPr>
        <w:t>1</w:t>
      </w:r>
      <w:r>
        <w:rPr>
          <w:rFonts w:hint="eastAsia" w:asciiTheme="minorEastAsia" w:hAnsiTheme="minorEastAsia" w:eastAsiaTheme="minorEastAsia"/>
          <w:b/>
          <w:bCs/>
          <w:sz w:val="24"/>
        </w:rPr>
        <w:t>．</w:t>
      </w:r>
      <w:r>
        <w:rPr>
          <w:rFonts w:asciiTheme="minorEastAsia" w:hAnsiTheme="minorEastAsia" w:eastAsiaTheme="minorEastAsia"/>
          <w:b/>
          <w:bCs/>
          <w:sz w:val="24"/>
        </w:rPr>
        <w:t>项目地点：</w:t>
      </w:r>
      <w:r>
        <w:rPr>
          <w:rFonts w:asciiTheme="minorEastAsia" w:hAnsiTheme="minorEastAsia" w:eastAsiaTheme="minorEastAsia"/>
          <w:sz w:val="24"/>
        </w:rPr>
        <w:t xml:space="preserve">合肥市瑶海区大兴镇 </w:t>
      </w:r>
    </w:p>
    <w:p>
      <w:pPr>
        <w:spacing w:line="360" w:lineRule="auto"/>
        <w:ind w:firstLine="482" w:firstLineChars="200"/>
        <w:rPr>
          <w:rFonts w:asciiTheme="minorEastAsia" w:hAnsiTheme="minorEastAsia" w:eastAsiaTheme="minorEastAsia"/>
          <w:sz w:val="24"/>
        </w:rPr>
      </w:pPr>
      <w:r>
        <w:rPr>
          <w:rFonts w:asciiTheme="minorEastAsia" w:hAnsiTheme="minorEastAsia" w:eastAsiaTheme="minorEastAsia"/>
          <w:b/>
          <w:bCs/>
          <w:sz w:val="24"/>
        </w:rPr>
        <w:t>2</w:t>
      </w:r>
      <w:r>
        <w:rPr>
          <w:rFonts w:hint="eastAsia" w:asciiTheme="minorEastAsia" w:hAnsiTheme="minorEastAsia" w:eastAsiaTheme="minorEastAsia"/>
          <w:b/>
          <w:bCs/>
          <w:sz w:val="24"/>
        </w:rPr>
        <w:t>．</w:t>
      </w:r>
      <w:r>
        <w:rPr>
          <w:rFonts w:asciiTheme="minorEastAsia" w:hAnsiTheme="minorEastAsia" w:eastAsiaTheme="minorEastAsia"/>
          <w:b/>
          <w:bCs/>
          <w:sz w:val="24"/>
        </w:rPr>
        <w:t>项目规模：</w:t>
      </w:r>
      <w:r>
        <w:rPr>
          <w:rFonts w:asciiTheme="minorEastAsia" w:hAnsiTheme="minorEastAsia" w:eastAsiaTheme="minorEastAsia"/>
          <w:sz w:val="24"/>
        </w:rPr>
        <w:t>原马钢(合肥）钢铁有限公司（以下简称“马钢”）位于安徽省合肥市瑶海区大兴镇，占地面积约3377亩，始建于1958年，至2015年全面停产，生产历史近60年。公司以生产建筑用材为主，具有年产200万吨钢的实际生产能力，拥有从烧结、焦化、炼铁、炼钢、轧钢等系列配套冶炼生产工序。2014年，合肥市土地储备中心对该地块完成收储，并与2016年实施关停。2020年8月，生态环境部南京环境科学研究所根据合肥市土地储备中心提出的对马钢（合肥）地块进行合理分区划块风险管控和修复治理要求，分别对地块内的四个片区（西北片区、中部片区、东南及铁路专用线片区、地铁六号线站点片区）进行土壤污染风险评估报告与修复技术方案编制工作。</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本标段涉及3个片区：</w:t>
      </w:r>
    </w:p>
    <w:p>
      <w:pPr>
        <w:spacing w:line="360" w:lineRule="auto"/>
        <w:ind w:firstLine="435"/>
        <w:rPr>
          <w:rFonts w:ascii="宋体" w:hAnsi="宋体" w:eastAsia="宋体"/>
          <w:sz w:val="24"/>
          <w:szCs w:val="18"/>
        </w:rPr>
      </w:pPr>
      <w:r>
        <w:rPr>
          <w:rFonts w:hint="eastAsia" w:asciiTheme="minorEastAsia" w:hAnsiTheme="minorEastAsia" w:eastAsiaTheme="minorEastAsia"/>
          <w:sz w:val="24"/>
        </w:rPr>
        <w:t>（一</w:t>
      </w:r>
      <w:r>
        <w:rPr>
          <w:rFonts w:asciiTheme="minorEastAsia" w:hAnsiTheme="minorEastAsia" w:eastAsiaTheme="minorEastAsia"/>
          <w:sz w:val="24"/>
        </w:rPr>
        <w:t>）</w:t>
      </w:r>
      <w:r>
        <w:rPr>
          <w:rFonts w:hint="eastAsia" w:ascii="宋体" w:hAnsi="宋体" w:eastAsia="宋体"/>
          <w:sz w:val="24"/>
          <w:szCs w:val="18"/>
        </w:rPr>
        <w:t>MHD01片区</w:t>
      </w:r>
      <w:r>
        <w:rPr>
          <w:rFonts w:ascii="宋体" w:hAnsi="宋体" w:eastAsia="宋体"/>
          <w:sz w:val="24"/>
          <w:szCs w:val="18"/>
        </w:rPr>
        <w:t>：</w:t>
      </w:r>
      <w:r>
        <w:rPr>
          <w:rFonts w:hint="eastAsia" w:ascii="宋体" w:hAnsi="宋体" w:eastAsia="宋体"/>
          <w:sz w:val="24"/>
          <w:szCs w:val="18"/>
        </w:rPr>
        <w:t>为马钢（合肥）地块地铁6号线站点片区污染土壤修复工程，原马钢（合肥）地块地铁六号线站点片区地块的用地规划类型为第二类用地。片区内污染的区块有6个，需修复的土壤面积为2495.26平方米，修复土方量为2897.08立方米。</w:t>
      </w:r>
    </w:p>
    <w:p>
      <w:pPr>
        <w:spacing w:line="360" w:lineRule="auto"/>
        <w:ind w:firstLine="435"/>
        <w:rPr>
          <w:rFonts w:ascii="宋体" w:hAnsi="宋体" w:eastAsia="宋体"/>
          <w:sz w:val="24"/>
          <w:szCs w:val="18"/>
        </w:rPr>
      </w:pPr>
      <w:r>
        <w:rPr>
          <w:rFonts w:ascii="宋体" w:hAnsi="宋体" w:eastAsia="宋体"/>
          <w:sz w:val="24"/>
          <w:szCs w:val="18"/>
        </w:rPr>
        <w:t>（二）</w:t>
      </w:r>
      <w:r>
        <w:rPr>
          <w:rFonts w:hint="eastAsia" w:ascii="宋体" w:hAnsi="宋体" w:eastAsia="宋体"/>
          <w:sz w:val="24"/>
          <w:szCs w:val="18"/>
        </w:rPr>
        <w:t>MHD02片区</w:t>
      </w:r>
      <w:r>
        <w:rPr>
          <w:rFonts w:ascii="宋体" w:hAnsi="宋体" w:eastAsia="宋体"/>
          <w:sz w:val="24"/>
          <w:szCs w:val="18"/>
        </w:rPr>
        <w:t>：</w:t>
      </w:r>
      <w:r>
        <w:rPr>
          <w:rFonts w:hint="eastAsia" w:ascii="宋体" w:hAnsi="宋体" w:eastAsia="宋体"/>
          <w:sz w:val="24"/>
          <w:szCs w:val="18"/>
        </w:rPr>
        <w:t>为马钢（合肥）地块东南及铁路专用线片区地块的面积约1057亩。地块规划设计第一类用地中的学校用地，第二类用地中的商住混合用地、商业用地、商业混合用地、景观河道、绿地、市政道路等。污染的区块有88个，需修复的土壤面积为74170.12平方米，修复土方量为165229.18立方米。</w:t>
      </w:r>
    </w:p>
    <w:p>
      <w:pPr>
        <w:spacing w:line="360" w:lineRule="auto"/>
        <w:ind w:firstLine="435"/>
        <w:rPr>
          <w:rFonts w:ascii="宋体" w:hAnsi="宋体" w:eastAsia="宋体"/>
          <w:sz w:val="24"/>
          <w:szCs w:val="18"/>
        </w:rPr>
      </w:pPr>
      <w:r>
        <w:rPr>
          <w:rFonts w:ascii="宋体" w:hAnsi="宋体" w:eastAsia="宋体"/>
          <w:sz w:val="24"/>
          <w:szCs w:val="18"/>
        </w:rPr>
        <w:t>（三）</w:t>
      </w:r>
      <w:r>
        <w:rPr>
          <w:rFonts w:hint="eastAsia" w:ascii="宋体" w:hAnsi="宋体" w:eastAsia="宋体"/>
          <w:sz w:val="24"/>
          <w:szCs w:val="18"/>
        </w:rPr>
        <w:t>MHD03片区</w:t>
      </w:r>
      <w:r>
        <w:rPr>
          <w:rFonts w:ascii="宋体" w:hAnsi="宋体" w:eastAsia="宋体"/>
          <w:sz w:val="24"/>
          <w:szCs w:val="18"/>
        </w:rPr>
        <w:t>：</w:t>
      </w:r>
      <w:r>
        <w:rPr>
          <w:rFonts w:hint="eastAsia" w:ascii="宋体" w:hAnsi="宋体" w:eastAsia="宋体"/>
          <w:sz w:val="24"/>
          <w:szCs w:val="18"/>
        </w:rPr>
        <w:t>马钢（合肥）地块西北片区地块的面积约933.66亩。片区内污染的区块有89个，需修复的土壤面积为81298.68平方米，修复土方量为204636.42立方米。需保留的历史遗留建（构）筑物风险管控：涉及地块竖向阻隔墙总周长约2108.6米，设计深度5米，总侧面积约为10043.0平方米。</w:t>
      </w:r>
    </w:p>
    <w:p>
      <w:pPr>
        <w:spacing w:line="360" w:lineRule="auto"/>
        <w:ind w:firstLine="435"/>
        <w:rPr>
          <w:rFonts w:ascii="宋体" w:hAnsi="宋体" w:eastAsia="宋体"/>
          <w:sz w:val="24"/>
          <w:szCs w:val="18"/>
        </w:rPr>
      </w:pPr>
      <w:r>
        <w:rPr>
          <w:rFonts w:hint="eastAsia" w:ascii="宋体" w:hAnsi="宋体" w:eastAsia="宋体"/>
          <w:sz w:val="24"/>
          <w:szCs w:val="18"/>
        </w:rPr>
        <w:t>本标段具体详见修复技术方案简版。</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本项目拟采购效果评估服务，对合肥市马合钢地块地铁</w:t>
      </w:r>
      <w:r>
        <w:rPr>
          <w:rFonts w:asciiTheme="minorEastAsia" w:hAnsiTheme="minorEastAsia" w:eastAsiaTheme="minorEastAsia"/>
          <w:sz w:val="24"/>
        </w:rPr>
        <w:t>6号线站点片区、东南及铁路专用线片区、西北片区土壤修复过程进行效果评估。</w:t>
      </w:r>
    </w:p>
    <w:p>
      <w:pPr>
        <w:spacing w:line="360" w:lineRule="auto"/>
        <w:ind w:firstLine="482" w:firstLineChars="200"/>
        <w:rPr>
          <w:rFonts w:asciiTheme="minorEastAsia" w:hAnsiTheme="minorEastAsia" w:eastAsiaTheme="minorEastAsia"/>
          <w:b/>
          <w:bCs/>
          <w:sz w:val="24"/>
        </w:rPr>
      </w:pPr>
      <w:r>
        <w:rPr>
          <w:rFonts w:asciiTheme="minorEastAsia" w:hAnsiTheme="minorEastAsia" w:eastAsiaTheme="minorEastAsia"/>
          <w:b/>
          <w:bCs/>
          <w:sz w:val="24"/>
        </w:rPr>
        <w:t>3.</w:t>
      </w:r>
      <w:r>
        <w:rPr>
          <w:rFonts w:hint="eastAsia" w:asciiTheme="minorEastAsia" w:hAnsiTheme="minorEastAsia" w:eastAsiaTheme="minorEastAsia"/>
          <w:b/>
          <w:bCs/>
          <w:sz w:val="24"/>
        </w:rPr>
        <w:t>招标内容及基本要求</w:t>
      </w:r>
    </w:p>
    <w:p>
      <w:pPr>
        <w:spacing w:line="360" w:lineRule="auto"/>
        <w:ind w:firstLine="480" w:firstLineChars="200"/>
        <w:outlineLvl w:val="2"/>
        <w:rPr>
          <w:rFonts w:asciiTheme="minorEastAsia" w:hAnsiTheme="minorEastAsia" w:eastAsiaTheme="minorEastAsia"/>
          <w:sz w:val="24"/>
        </w:rPr>
      </w:pPr>
      <w:r>
        <w:rPr>
          <w:rFonts w:asciiTheme="minorEastAsia" w:hAnsiTheme="minorEastAsia" w:eastAsiaTheme="minorEastAsia"/>
          <w:sz w:val="24"/>
        </w:rPr>
        <w:t>3.1招标内容：</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包括但不限于以下内容：</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3.1.1按照国家法律法规、地方性导则规范、环境主管部门的要求，结合修复技术方案中效果评估方案框架、施工方案编写详细的效果评估工作方案，应包括针对处置工程竣工的验收、基坑清挖效果评估等；</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3.1.2现场勘查，组织开展项目竣工及基坑效果评估等关于现场采样、检测分析、效果评估、报告编制等工作；</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3.1.3实验室检测分析及质量控制：样品需由具有相应检测资质的专业机构进行检测，按照规定的检测方法，分析检测送检样品中的目标污染物，通过提高质量控制手段保证样品分析的准确性和精确性。</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3.1.4将检测结果与修复目标值进行对比分析，若不满足修复目标，提出整改意见及措施。</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3.1.5按要求及时对修复或风险管控后的污染土壤、石块、地表水、底泥、地下水和基坑等进行效果评估，形成有效的阶段性成果资料，达到回填标准，为场地周转提供支持。</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3.1.6在施工过程中应按照国家法律法规、地方性导则规范、环境主管部门要求开展过程环境质量控制工作；</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3.1.7配合业主参加生态环境主管部门组织的专家评审，完善报告编制报请业主及省厅，配合准备专家评审会相关材料，向业主及专家评审委员会汇报效果评估工作内容及结果；</w:t>
      </w:r>
    </w:p>
    <w:p>
      <w:pPr>
        <w:spacing w:line="360" w:lineRule="auto"/>
        <w:ind w:firstLine="480" w:firstLineChars="200"/>
        <w:outlineLvl w:val="2"/>
        <w:rPr>
          <w:rFonts w:asciiTheme="minorEastAsia" w:hAnsiTheme="minorEastAsia" w:eastAsiaTheme="minorEastAsia"/>
          <w:sz w:val="24"/>
        </w:rPr>
      </w:pPr>
      <w:r>
        <w:rPr>
          <w:rFonts w:asciiTheme="minorEastAsia" w:hAnsiTheme="minorEastAsia" w:eastAsiaTheme="minorEastAsia"/>
          <w:sz w:val="24"/>
        </w:rPr>
        <w:t>3.2基本要求：</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3.2.1</w:t>
      </w:r>
      <w:r>
        <w:rPr>
          <w:rFonts w:hint="eastAsia" w:asciiTheme="minorEastAsia" w:hAnsiTheme="minorEastAsia" w:eastAsiaTheme="minorEastAsia"/>
          <w:sz w:val="24"/>
        </w:rPr>
        <w:t>根据《原马钢（合肥）地块地铁</w:t>
      </w:r>
      <w:r>
        <w:rPr>
          <w:rFonts w:asciiTheme="minorEastAsia" w:hAnsiTheme="minorEastAsia" w:eastAsiaTheme="minorEastAsia"/>
          <w:sz w:val="24"/>
        </w:rPr>
        <w:t>6号线站点片区污染土壤修复技术方案》（简版）、《原马钢（合肥）地块东南及铁路专用线片区污染土壤修复技术方案》（简版）、《原马钢（合肥）地块西北片区污染土壤修复技术方案》（简版）修复目标值的要求、相关规定及业主要求，对原马钢（合肥）地块地铁6号线片区、东南及铁路专用线片区、西北片区污染土壤修复项目进行修复与风险管控效果评估，编制项目效果评估报告，直至通过生态环境主管部门组织的评审完成备案，且移出安徽省建设用地土壤污染风险管控和修复名录；</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3.2.2本修复工作需严格按照</w:t>
      </w:r>
      <w:r>
        <w:rPr>
          <w:rFonts w:ascii="宋体" w:hAnsi="宋体" w:eastAsia="宋体" w:cs="宋体"/>
          <w:sz w:val="24"/>
          <w:szCs w:val="24"/>
        </w:rPr>
        <w:t>生态环境主管部门</w:t>
      </w:r>
      <w:r>
        <w:rPr>
          <w:rFonts w:asciiTheme="minorEastAsia" w:hAnsiTheme="minorEastAsia" w:eastAsiaTheme="minorEastAsia"/>
          <w:sz w:val="24"/>
        </w:rPr>
        <w:t>的要求开展，进入效果评估阶段后，必须按照国家法律法规及相关场地修复效果评估技术导则和规范进行评估，要求所有验收点所有处置目标污染物全部达标；如存在不达标的点位则需要</w:t>
      </w:r>
      <w:r>
        <w:rPr>
          <w:rFonts w:hint="eastAsia" w:asciiTheme="minorEastAsia" w:hAnsiTheme="minorEastAsia" w:eastAsiaTheme="minorEastAsia"/>
          <w:sz w:val="24"/>
        </w:rPr>
        <w:t>要求施工承包人</w:t>
      </w:r>
      <w:r>
        <w:rPr>
          <w:rFonts w:asciiTheme="minorEastAsia" w:hAnsiTheme="minorEastAsia" w:eastAsiaTheme="minorEastAsia"/>
          <w:sz w:val="24"/>
        </w:rPr>
        <w:t>补充处置，补充处置后仍需按照上述评估要求进行评估直至达标，并且相关评估工作认为该场地处置工程评估工作内容，投标单位应对上述要求做充分的预估。</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3.2.3</w:t>
      </w:r>
      <w:r>
        <w:rPr>
          <w:rFonts w:hint="eastAsia" w:asciiTheme="minorEastAsia" w:hAnsiTheme="minorEastAsia" w:eastAsiaTheme="minorEastAsia"/>
          <w:sz w:val="24"/>
        </w:rPr>
        <w:t>主要技术规范、标准包括但不限于以下(如已有更新版本，按现行最新版本执行)</w:t>
      </w:r>
      <w:r>
        <w:rPr>
          <w:rFonts w:asciiTheme="minorEastAsia" w:hAnsiTheme="minorEastAsia" w:eastAsiaTheme="minorEastAsia"/>
          <w:sz w:val="24"/>
        </w:rPr>
        <w:t>：</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1《土壤环境质量 建设用地土壤污染风险管控标准(试行)》（ GB36600-2018）</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2《建设用地土壤污染风险管控和修复术语》（HJ682-2019）</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3《建设用地土壤污染状况调查技术导则》（HJ 25.1-2019）</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4《建设用地土壤污染风险管控和修复监测技术导则》（HJ 25.2-2019）</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5《建设用地土壤污染风险评估技术导则》（HJ 25.3-2019）</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6《建设用地土壤修复技术导则》（HJ 25.4-2019）</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7《污染地块风险管控与土壤修复效果评估技术导则（试行）》（HJ 25.5-2018）</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8《污染地块地下水修复和风险管控技术导则》（HJ25.6-2019）</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9《地表水环境质量标准》（GB 3838-2002）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10《环境空气质量标准》（GB 3095-2012）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11《地下水质量标准》（GB/T 14848-2017）</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12《声环境质量标准》（GB 3096-2008）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13《污水综合排放标准》 （GB8978-1996）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14《大气污染物综合排放标准》 （GB16297-1996）</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15《污水排入城镇下水道水质标准》</w:t>
      </w:r>
      <w:r>
        <w:fldChar w:fldCharType="begin"/>
      </w:r>
      <w:r>
        <w:instrText xml:space="preserve"> HYPERLINK "http://www.csres.com/detail/274394.html" \t "http://www.csres.com/_blank" </w:instrText>
      </w:r>
      <w:r>
        <w:fldChar w:fldCharType="separate"/>
      </w:r>
      <w:r>
        <w:rPr>
          <w:rFonts w:cs="方正仿宋_GBK" w:asciiTheme="minorEastAsia" w:hAnsiTheme="minorEastAsia" w:eastAsiaTheme="minorEastAsia"/>
          <w:bCs/>
          <w:snapToGrid w:val="0"/>
          <w:kern w:val="0"/>
        </w:rPr>
        <w:t>GB/T 31962-2015</w:t>
      </w:r>
      <w:r>
        <w:rPr>
          <w:rFonts w:cs="方正仿宋_GBK" w:asciiTheme="minorEastAsia" w:hAnsiTheme="minorEastAsia" w:eastAsiaTheme="minorEastAsia"/>
          <w:bCs/>
          <w:snapToGrid w:val="0"/>
          <w:kern w:val="0"/>
        </w:rPr>
        <w:fldChar w:fldCharType="end"/>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16《恶臭污染物排放标准》（GB14554-93）</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17《建筑施工场界环境噪声排放标准》（GB 12523-2011）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18《水泥工业大气污染物排放标准》（GB4915-2013）</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19《水泥窑协同处置固体废物技术规范》（GB30760-2014）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20《水泥窑协同处置固体废物污染控制标准》（GB 30485-2013）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21《水泥窑协同处置固体废物环境保护技术规范》（HJ662-2013）</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22《危险废物鉴别技术规范》（HJ 298－2019）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23《大气污染物无组织排放监测技术导则》（HJ/T 55-2000）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24《地块土壤和地下水中挥发性有机物采样技术导则》(HJ 1019-2019)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 xml:space="preserve">25《地下水环境监测技术规范》（HJ/T 164-2020） </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3.2.4拟派项目负责人在项目实施阶段不得更换；</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3.2.5工作开展期间，无条件接受</w:t>
      </w:r>
      <w:r>
        <w:rPr>
          <w:rFonts w:hint="eastAsia" w:asciiTheme="minorEastAsia" w:hAnsiTheme="minorEastAsia" w:eastAsiaTheme="minorEastAsia"/>
          <w:sz w:val="24"/>
        </w:rPr>
        <w:t>发包人</w:t>
      </w:r>
      <w:r>
        <w:rPr>
          <w:rFonts w:asciiTheme="minorEastAsia" w:hAnsiTheme="minorEastAsia" w:eastAsiaTheme="minorEastAsia"/>
          <w:sz w:val="24"/>
        </w:rPr>
        <w:t>的监督与指导，服从</w:t>
      </w:r>
      <w:r>
        <w:rPr>
          <w:rFonts w:hint="eastAsia" w:asciiTheme="minorEastAsia" w:hAnsiTheme="minorEastAsia" w:eastAsiaTheme="minorEastAsia"/>
          <w:sz w:val="24"/>
        </w:rPr>
        <w:t>发包人</w:t>
      </w:r>
      <w:r>
        <w:rPr>
          <w:rFonts w:asciiTheme="minorEastAsia" w:hAnsiTheme="minorEastAsia" w:eastAsiaTheme="minorEastAsia"/>
          <w:sz w:val="24"/>
        </w:rPr>
        <w:t>工作安排，并对</w:t>
      </w:r>
      <w:r>
        <w:rPr>
          <w:rFonts w:hint="eastAsia" w:asciiTheme="minorEastAsia" w:hAnsiTheme="minorEastAsia" w:eastAsiaTheme="minorEastAsia"/>
          <w:sz w:val="24"/>
        </w:rPr>
        <w:t>发包人</w:t>
      </w:r>
      <w:r>
        <w:rPr>
          <w:rFonts w:asciiTheme="minorEastAsia" w:hAnsiTheme="minorEastAsia" w:eastAsiaTheme="minorEastAsia"/>
          <w:sz w:val="24"/>
        </w:rPr>
        <w:t>负责；</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3.2.6投标人应当严格遵守国家的有关法律、法规、制度规定、有关执业规范及</w:t>
      </w:r>
      <w:r>
        <w:rPr>
          <w:rFonts w:hint="eastAsia" w:asciiTheme="minorEastAsia" w:hAnsiTheme="minorEastAsia" w:eastAsiaTheme="minorEastAsia"/>
          <w:sz w:val="24"/>
        </w:rPr>
        <w:t>发包人</w:t>
      </w:r>
      <w:r>
        <w:rPr>
          <w:rFonts w:asciiTheme="minorEastAsia" w:hAnsiTheme="minorEastAsia" w:eastAsiaTheme="minorEastAsia"/>
          <w:sz w:val="24"/>
        </w:rPr>
        <w:t>的要求，对报告的真实性、完整性、和可靠性负责，负有保密义务。对提供不实或内容虚假的评估结果，</w:t>
      </w:r>
      <w:r>
        <w:rPr>
          <w:rFonts w:hint="eastAsia" w:asciiTheme="minorEastAsia" w:hAnsiTheme="minorEastAsia" w:eastAsiaTheme="minorEastAsia"/>
          <w:sz w:val="24"/>
        </w:rPr>
        <w:t>发包人</w:t>
      </w:r>
      <w:r>
        <w:rPr>
          <w:rFonts w:asciiTheme="minorEastAsia" w:hAnsiTheme="minorEastAsia" w:eastAsiaTheme="minorEastAsia"/>
          <w:sz w:val="24"/>
        </w:rPr>
        <w:t>可采取必要措施终止合作，情节严重的，依法追究供应商和相关责任人的行政及法律责任，并通过媒体公布相关信息。</w:t>
      </w:r>
    </w:p>
    <w:p>
      <w:pPr>
        <w:spacing w:line="360" w:lineRule="auto"/>
        <w:ind w:firstLine="482" w:firstLineChars="200"/>
        <w:outlineLvl w:val="1"/>
        <w:rPr>
          <w:rFonts w:asciiTheme="minorEastAsia" w:hAnsiTheme="minorEastAsia" w:eastAsiaTheme="minorEastAsia"/>
          <w:sz w:val="24"/>
        </w:rPr>
      </w:pPr>
      <w:r>
        <w:rPr>
          <w:rFonts w:hint="eastAsia" w:asciiTheme="minorEastAsia" w:hAnsiTheme="minorEastAsia" w:eastAsiaTheme="minorEastAsia"/>
          <w:b/>
          <w:bCs/>
          <w:sz w:val="24"/>
        </w:rPr>
        <w:t>三、服务期限：</w:t>
      </w:r>
      <w:r>
        <w:rPr>
          <w:rFonts w:hint="eastAsia" w:asciiTheme="minorEastAsia" w:hAnsiTheme="minorEastAsia" w:eastAsiaTheme="minorEastAsia"/>
          <w:sz w:val="24"/>
        </w:rPr>
        <w:t>详见采购需求前附表</w:t>
      </w:r>
      <w:r>
        <w:rPr>
          <w:rFonts w:asciiTheme="minorEastAsia" w:hAnsiTheme="minorEastAsia" w:eastAsiaTheme="minorEastAsia"/>
          <w:sz w:val="24"/>
        </w:rPr>
        <w:t xml:space="preserve"> </w:t>
      </w:r>
    </w:p>
    <w:p>
      <w:pPr>
        <w:spacing w:line="360" w:lineRule="auto"/>
        <w:ind w:firstLine="482" w:firstLineChars="200"/>
        <w:outlineLvl w:val="1"/>
        <w:rPr>
          <w:rFonts w:asciiTheme="minorEastAsia" w:hAnsiTheme="minorEastAsia" w:eastAsiaTheme="minorEastAsia"/>
          <w:b/>
          <w:bCs/>
          <w:sz w:val="24"/>
        </w:rPr>
      </w:pPr>
      <w:r>
        <w:rPr>
          <w:rFonts w:hint="eastAsia" w:asciiTheme="minorEastAsia" w:hAnsiTheme="minorEastAsia" w:eastAsiaTheme="minorEastAsia"/>
          <w:b/>
          <w:bCs/>
          <w:sz w:val="24"/>
        </w:rPr>
        <w:t>四、报价要求</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1.报价范围：投标人的投标报价应是</w:t>
      </w:r>
      <w:r>
        <w:rPr>
          <w:rFonts w:hint="eastAsia" w:ascii="宋体" w:hAnsi="宋体" w:eastAsia="宋体"/>
          <w:bCs/>
          <w:sz w:val="24"/>
          <w:szCs w:val="18"/>
        </w:rPr>
        <w:t>本招标文件中所述的招标范围内的全部</w:t>
      </w:r>
      <w:r>
        <w:rPr>
          <w:rFonts w:asciiTheme="minorEastAsia" w:hAnsiTheme="minorEastAsia" w:eastAsiaTheme="minorEastAsia"/>
          <w:sz w:val="24"/>
        </w:rPr>
        <w:t>工作内容及达到质量要求的投标报价。</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2.报价原则：投标人根据现场踏勘，</w:t>
      </w:r>
      <w:r>
        <w:rPr>
          <w:rFonts w:hint="eastAsia" w:ascii="宋体" w:hAnsi="宋体" w:eastAsia="宋体"/>
          <w:bCs/>
          <w:sz w:val="24"/>
          <w:szCs w:val="18"/>
        </w:rPr>
        <w:t>结合修复技术方案简版</w:t>
      </w:r>
      <w:r>
        <w:rPr>
          <w:rFonts w:asciiTheme="minorEastAsia" w:hAnsiTheme="minorEastAsia" w:eastAsiaTheme="minorEastAsia"/>
          <w:sz w:val="24"/>
        </w:rPr>
        <w:t>、自身及市场情况进行报价，</w:t>
      </w:r>
      <w:r>
        <w:rPr>
          <w:rFonts w:hint="eastAsia" w:ascii="宋体" w:hAnsi="宋体" w:eastAsia="宋体"/>
          <w:bCs/>
          <w:sz w:val="24"/>
          <w:szCs w:val="18"/>
        </w:rPr>
        <w:t>投标报价</w:t>
      </w:r>
      <w:r>
        <w:rPr>
          <w:rFonts w:asciiTheme="minorEastAsia" w:hAnsiTheme="minorEastAsia" w:eastAsiaTheme="minorEastAsia"/>
          <w:sz w:val="24"/>
        </w:rPr>
        <w:t>为完成</w:t>
      </w:r>
      <w:r>
        <w:rPr>
          <w:rFonts w:hint="eastAsia" w:asciiTheme="minorEastAsia" w:hAnsiTheme="minorEastAsia" w:eastAsiaTheme="minorEastAsia"/>
          <w:sz w:val="24"/>
        </w:rPr>
        <w:t>本包</w:t>
      </w:r>
      <w:r>
        <w:rPr>
          <w:rFonts w:asciiTheme="minorEastAsia" w:hAnsiTheme="minorEastAsia" w:eastAsiaTheme="minorEastAsia"/>
          <w:sz w:val="24"/>
        </w:rPr>
        <w:t>范围内一切工作所产生的费用。包括但不限于在服务期内完成合格服务所需的人工、餐费、耗材、通讯、服装、办公设备、巡检器材</w:t>
      </w:r>
      <w:r>
        <w:rPr>
          <w:rFonts w:hint="eastAsia" w:asciiTheme="minorEastAsia" w:hAnsiTheme="minorEastAsia" w:eastAsiaTheme="minorEastAsia"/>
          <w:sz w:val="24"/>
        </w:rPr>
        <w:t>、采样检测、</w:t>
      </w:r>
      <w:r>
        <w:rPr>
          <w:rFonts w:asciiTheme="minorEastAsia" w:hAnsiTheme="minorEastAsia" w:eastAsiaTheme="minorEastAsia"/>
          <w:sz w:val="24"/>
        </w:rPr>
        <w:t>各种税费、保险、劳保、维护、利润、税金、政策性文件规定及合同包含的所有风险、责任等各项应有费用。本项目为总价合同，合同总额包括了可能发生的所有风险和额外费用。</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3.投标人应充分预计实施过程中可能存在的所有不确定风险，相关费用由投标人纳入投标报价综合考虑。</w:t>
      </w:r>
    </w:p>
    <w:p>
      <w:pPr>
        <w:spacing w:line="360" w:lineRule="auto"/>
        <w:ind w:firstLine="480" w:firstLineChars="200"/>
        <w:rPr>
          <w:rFonts w:eastAsia="宋体" w:asciiTheme="minorEastAsia" w:hAnsiTheme="minorEastAsia"/>
          <w:sz w:val="24"/>
        </w:rPr>
      </w:pPr>
      <w:r>
        <w:rPr>
          <w:rFonts w:asciiTheme="minorEastAsia" w:hAnsiTheme="minorEastAsia" w:eastAsiaTheme="minorEastAsia"/>
          <w:sz w:val="24"/>
        </w:rPr>
        <w:t>4.</w:t>
      </w:r>
      <w:r>
        <w:rPr>
          <w:rFonts w:hint="eastAsia" w:ascii="宋体" w:hAnsi="宋体" w:eastAsia="宋体"/>
          <w:b/>
          <w:sz w:val="24"/>
          <w:szCs w:val="18"/>
        </w:rPr>
        <w:t>本项目采用总价报价，投标报价不得超过最高投标限价，否则将按否决投标处理。</w:t>
      </w:r>
    </w:p>
    <w:p>
      <w:pPr>
        <w:spacing w:line="360" w:lineRule="auto"/>
        <w:ind w:firstLine="482" w:firstLineChars="200"/>
        <w:outlineLvl w:val="1"/>
        <w:rPr>
          <w:rFonts w:asciiTheme="minorEastAsia" w:hAnsiTheme="minorEastAsia" w:eastAsiaTheme="minorEastAsia"/>
          <w:b/>
          <w:bCs/>
          <w:sz w:val="24"/>
        </w:rPr>
      </w:pPr>
      <w:r>
        <w:rPr>
          <w:rFonts w:hint="eastAsia" w:asciiTheme="minorEastAsia" w:hAnsiTheme="minorEastAsia" w:eastAsiaTheme="minorEastAsia"/>
          <w:b/>
          <w:bCs/>
          <w:sz w:val="24"/>
        </w:rPr>
        <w:t>五、其它要求</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w:t>
      </w:r>
      <w:r>
        <w:rPr>
          <w:rFonts w:asciiTheme="minorEastAsia" w:hAnsiTheme="minorEastAsia" w:eastAsiaTheme="minorEastAsia"/>
          <w:sz w:val="24"/>
        </w:rPr>
        <w:t>本项目为政府重点项目，在施工过程中需随时接受有关方面的检查监督，中标</w:t>
      </w:r>
      <w:r>
        <w:rPr>
          <w:rFonts w:hint="eastAsia" w:asciiTheme="minorEastAsia" w:hAnsiTheme="minorEastAsia" w:eastAsiaTheme="minorEastAsia"/>
          <w:sz w:val="24"/>
        </w:rPr>
        <w:t>人</w:t>
      </w:r>
      <w:r>
        <w:rPr>
          <w:rFonts w:asciiTheme="minorEastAsia" w:hAnsiTheme="minorEastAsia" w:eastAsiaTheme="minorEastAsia"/>
          <w:sz w:val="24"/>
        </w:rPr>
        <w:t>必须按</w:t>
      </w:r>
      <w:r>
        <w:rPr>
          <w:rFonts w:hint="eastAsia" w:asciiTheme="minorEastAsia" w:hAnsiTheme="minorEastAsia" w:eastAsiaTheme="minorEastAsia"/>
          <w:bCs/>
          <w:sz w:val="24"/>
          <w:szCs w:val="24"/>
        </w:rPr>
        <w:t>采购人</w:t>
      </w:r>
      <w:r>
        <w:rPr>
          <w:rFonts w:asciiTheme="minorEastAsia" w:hAnsiTheme="minorEastAsia" w:eastAsiaTheme="minorEastAsia"/>
          <w:sz w:val="24"/>
        </w:rPr>
        <w:t>要求随时做好接待组织和配合工作。</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w:t>
      </w:r>
      <w:r>
        <w:rPr>
          <w:rFonts w:asciiTheme="minorEastAsia" w:hAnsiTheme="minorEastAsia" w:eastAsiaTheme="minorEastAsia"/>
          <w:sz w:val="24"/>
        </w:rPr>
        <w:t>所有投标人均应严格遵守保密承诺，未经</w:t>
      </w:r>
      <w:r>
        <w:rPr>
          <w:rFonts w:hint="eastAsia" w:asciiTheme="minorEastAsia" w:hAnsiTheme="minorEastAsia" w:eastAsiaTheme="minorEastAsia"/>
          <w:bCs/>
          <w:sz w:val="24"/>
          <w:szCs w:val="24"/>
        </w:rPr>
        <w:t>采购人</w:t>
      </w:r>
      <w:r>
        <w:rPr>
          <w:rFonts w:asciiTheme="minorEastAsia" w:hAnsiTheme="minorEastAsia" w:eastAsiaTheme="minorEastAsia"/>
          <w:sz w:val="24"/>
        </w:rPr>
        <w:t>允许，不得将有关本项目的任何情况透露给任何第三方或用于本项目以外的用途。</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投标人提供的服务能够至少达到以上要求，同时提供明确详细的场地土壤效果评估方案。</w:t>
      </w:r>
    </w:p>
    <w:p>
      <w:pPr>
        <w:spacing w:line="360" w:lineRule="auto"/>
        <w:ind w:firstLine="437"/>
        <w:rPr>
          <w:rFonts w:ascii="宋体" w:hAnsi="宋体" w:eastAsia="宋体"/>
          <w:bCs/>
          <w:sz w:val="24"/>
          <w:szCs w:val="18"/>
        </w:rPr>
      </w:pPr>
      <w:r>
        <w:rPr>
          <w:rFonts w:ascii="宋体" w:hAnsi="宋体" w:eastAsia="宋体"/>
          <w:bCs/>
          <w:sz w:val="24"/>
          <w:szCs w:val="18"/>
        </w:rPr>
        <w:t>4</w:t>
      </w:r>
      <w:r>
        <w:rPr>
          <w:rFonts w:hint="eastAsia" w:ascii="宋体" w:hAnsi="宋体" w:eastAsia="宋体"/>
          <w:bCs/>
          <w:sz w:val="24"/>
          <w:szCs w:val="18"/>
        </w:rPr>
        <w:t>.</w:t>
      </w:r>
      <w:r>
        <w:rPr>
          <w:rFonts w:ascii="宋体" w:hAnsi="宋体" w:eastAsia="宋体"/>
          <w:bCs/>
          <w:sz w:val="24"/>
          <w:szCs w:val="18"/>
        </w:rPr>
        <w:t>投标人</w:t>
      </w:r>
      <w:r>
        <w:rPr>
          <w:rFonts w:hint="eastAsia" w:ascii="宋体" w:hAnsi="宋体" w:eastAsia="宋体"/>
          <w:bCs/>
          <w:sz w:val="24"/>
          <w:szCs w:val="18"/>
        </w:rPr>
        <w:t>中标后须按</w:t>
      </w:r>
      <w:r>
        <w:rPr>
          <w:rFonts w:ascii="宋体" w:hAnsi="宋体" w:eastAsia="宋体"/>
          <w:bCs/>
          <w:sz w:val="24"/>
          <w:szCs w:val="18"/>
        </w:rPr>
        <w:t>招标文件中提出的全部综合管理要求</w:t>
      </w:r>
      <w:r>
        <w:rPr>
          <w:rFonts w:hint="eastAsia" w:ascii="宋体" w:hAnsi="宋体" w:eastAsia="宋体"/>
          <w:bCs/>
          <w:sz w:val="24"/>
          <w:szCs w:val="18"/>
        </w:rPr>
        <w:t>履约</w:t>
      </w:r>
      <w:r>
        <w:rPr>
          <w:rFonts w:ascii="宋体" w:hAnsi="宋体" w:eastAsia="宋体"/>
          <w:bCs/>
          <w:sz w:val="24"/>
          <w:szCs w:val="18"/>
        </w:rPr>
        <w:t>，如果其中某些条款不响应时，应在文件中逐条列出，未列出的视同响应。</w:t>
      </w:r>
    </w:p>
    <w:p>
      <w:pPr>
        <w:spacing w:line="360" w:lineRule="auto"/>
        <w:rPr>
          <w:rFonts w:asciiTheme="minorEastAsia" w:hAnsiTheme="minorEastAsia" w:eastAsiaTheme="minorEastAsia"/>
          <w:sz w:val="24"/>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panose1 w:val="02020509000000000000"/>
    <w:charset w:val="88"/>
    <w:family w:val="modern"/>
    <w:pitch w:val="default"/>
    <w:sig w:usb0="A00002FF" w:usb1="28CFFCFA" w:usb2="00000016" w:usb3="00000000" w:csb0="00100001" w:csb1="00000000"/>
  </w:font>
  <w:font w:name="华文细黑">
    <w:panose1 w:val="02010600040101010101"/>
    <w:charset w:val="86"/>
    <w:family w:val="auto"/>
    <w:pitch w:val="default"/>
    <w:sig w:usb0="00000287" w:usb1="080F0000" w:usb2="00000000" w:usb3="00000000" w:csb0="0004009F" w:csb1="DFD70000"/>
  </w:font>
  <w:font w:name="方正仿宋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sdt>
      <w:sdtPr>
        <w:rPr>
          <w:rFonts w:asciiTheme="minorEastAsia" w:hAnsiTheme="minorEastAsia" w:eastAsiaTheme="minorEastAsia"/>
          <w:sz w:val="21"/>
          <w:szCs w:val="21"/>
        </w:rPr>
        <w:id w:val="747232144"/>
        <w:docPartObj>
          <w:docPartGallery w:val="autotext"/>
        </w:docPartObj>
      </w:sdtPr>
      <w:sdtEndPr>
        <w:rPr>
          <w:rFonts w:ascii="@仿宋_GB2312" w:hAnsi="@仿宋_GB2312" w:eastAsia="@仿宋_GB2312"/>
          <w:sz w:val="18"/>
          <w:szCs w:val="18"/>
        </w:rPr>
      </w:sdtEndPr>
      <w:sdtContent>
        <w:sdt>
          <w:sdtPr>
            <w:rPr>
              <w:rFonts w:asciiTheme="minorEastAsia" w:hAnsiTheme="minorEastAsia" w:eastAsiaTheme="minorEastAsia"/>
              <w:sz w:val="21"/>
              <w:szCs w:val="21"/>
            </w:rPr>
            <w:id w:val="-1669238322"/>
            <w:showingPlcHdr/>
            <w:docPartObj>
              <w:docPartGallery w:val="autotext"/>
            </w:docPartObj>
          </w:sdtPr>
          <w:sdtEndPr>
            <w:rPr>
              <w:rFonts w:ascii="@仿宋_GB2312" w:hAnsi="@仿宋_GB2312" w:eastAsia="@仿宋_GB2312"/>
              <w:sz w:val="18"/>
              <w:szCs w:val="18"/>
            </w:rPr>
          </w:sdtEndPr>
          <w:sdtContent/>
        </w:sdt>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BA1"/>
    <w:rsid w:val="0000043F"/>
    <w:rsid w:val="000049DA"/>
    <w:rsid w:val="000056B7"/>
    <w:rsid w:val="00012A13"/>
    <w:rsid w:val="000131F7"/>
    <w:rsid w:val="00016B6C"/>
    <w:rsid w:val="00020B57"/>
    <w:rsid w:val="00027F28"/>
    <w:rsid w:val="00033B5B"/>
    <w:rsid w:val="00037DBE"/>
    <w:rsid w:val="00042139"/>
    <w:rsid w:val="00042B14"/>
    <w:rsid w:val="00044F49"/>
    <w:rsid w:val="000450C3"/>
    <w:rsid w:val="00050A3F"/>
    <w:rsid w:val="000530EC"/>
    <w:rsid w:val="000544DE"/>
    <w:rsid w:val="000648D2"/>
    <w:rsid w:val="00070E0E"/>
    <w:rsid w:val="00076DB7"/>
    <w:rsid w:val="00080FEB"/>
    <w:rsid w:val="00081B81"/>
    <w:rsid w:val="000868D6"/>
    <w:rsid w:val="00094D41"/>
    <w:rsid w:val="00097CB9"/>
    <w:rsid w:val="000A3569"/>
    <w:rsid w:val="000A4640"/>
    <w:rsid w:val="000A6345"/>
    <w:rsid w:val="000A6693"/>
    <w:rsid w:val="000A6B73"/>
    <w:rsid w:val="000A7D94"/>
    <w:rsid w:val="000B1511"/>
    <w:rsid w:val="000B492C"/>
    <w:rsid w:val="000B54F4"/>
    <w:rsid w:val="000C1DB1"/>
    <w:rsid w:val="000D3F37"/>
    <w:rsid w:val="000D431F"/>
    <w:rsid w:val="000E3C74"/>
    <w:rsid w:val="000E3F9B"/>
    <w:rsid w:val="000E6689"/>
    <w:rsid w:val="000F014C"/>
    <w:rsid w:val="000F172B"/>
    <w:rsid w:val="000F1C24"/>
    <w:rsid w:val="000F2198"/>
    <w:rsid w:val="000F39B6"/>
    <w:rsid w:val="000F6B7B"/>
    <w:rsid w:val="00100B0F"/>
    <w:rsid w:val="0010187C"/>
    <w:rsid w:val="001037E3"/>
    <w:rsid w:val="00110911"/>
    <w:rsid w:val="00116A70"/>
    <w:rsid w:val="0012143A"/>
    <w:rsid w:val="001222C6"/>
    <w:rsid w:val="001239CE"/>
    <w:rsid w:val="00136D80"/>
    <w:rsid w:val="00137C7C"/>
    <w:rsid w:val="00140687"/>
    <w:rsid w:val="00141707"/>
    <w:rsid w:val="00146421"/>
    <w:rsid w:val="001479CF"/>
    <w:rsid w:val="00155F64"/>
    <w:rsid w:val="00157856"/>
    <w:rsid w:val="00160729"/>
    <w:rsid w:val="00160D83"/>
    <w:rsid w:val="001644D1"/>
    <w:rsid w:val="00166ED8"/>
    <w:rsid w:val="001714C9"/>
    <w:rsid w:val="001754E2"/>
    <w:rsid w:val="0018119B"/>
    <w:rsid w:val="001826D0"/>
    <w:rsid w:val="00183344"/>
    <w:rsid w:val="00183897"/>
    <w:rsid w:val="001844AB"/>
    <w:rsid w:val="00190F1F"/>
    <w:rsid w:val="001944B8"/>
    <w:rsid w:val="00196DA3"/>
    <w:rsid w:val="00197AC4"/>
    <w:rsid w:val="001A0DCD"/>
    <w:rsid w:val="001A5D34"/>
    <w:rsid w:val="001A68E5"/>
    <w:rsid w:val="001B21DF"/>
    <w:rsid w:val="001B2A54"/>
    <w:rsid w:val="001B5014"/>
    <w:rsid w:val="001B7327"/>
    <w:rsid w:val="001C67F2"/>
    <w:rsid w:val="001C762D"/>
    <w:rsid w:val="001D53B4"/>
    <w:rsid w:val="001F28D2"/>
    <w:rsid w:val="001F2F45"/>
    <w:rsid w:val="001F3023"/>
    <w:rsid w:val="001F35F6"/>
    <w:rsid w:val="001F74CA"/>
    <w:rsid w:val="002003B6"/>
    <w:rsid w:val="002049B4"/>
    <w:rsid w:val="0020520B"/>
    <w:rsid w:val="00213C55"/>
    <w:rsid w:val="002163CF"/>
    <w:rsid w:val="002168C4"/>
    <w:rsid w:val="002178B1"/>
    <w:rsid w:val="00223CF4"/>
    <w:rsid w:val="00224C4A"/>
    <w:rsid w:val="0023407E"/>
    <w:rsid w:val="00240B40"/>
    <w:rsid w:val="002440D8"/>
    <w:rsid w:val="00244182"/>
    <w:rsid w:val="00246810"/>
    <w:rsid w:val="00260860"/>
    <w:rsid w:val="00260B94"/>
    <w:rsid w:val="00264F2E"/>
    <w:rsid w:val="00264F5E"/>
    <w:rsid w:val="00271245"/>
    <w:rsid w:val="00272E6E"/>
    <w:rsid w:val="00274A9E"/>
    <w:rsid w:val="00276292"/>
    <w:rsid w:val="00276BA1"/>
    <w:rsid w:val="00277094"/>
    <w:rsid w:val="002A1A1D"/>
    <w:rsid w:val="002A28AD"/>
    <w:rsid w:val="002A3AEE"/>
    <w:rsid w:val="002B5318"/>
    <w:rsid w:val="002B5373"/>
    <w:rsid w:val="002B6D27"/>
    <w:rsid w:val="002C4BA9"/>
    <w:rsid w:val="002D1258"/>
    <w:rsid w:val="002D2965"/>
    <w:rsid w:val="002D3D02"/>
    <w:rsid w:val="002D4CB5"/>
    <w:rsid w:val="002D684B"/>
    <w:rsid w:val="002E3B26"/>
    <w:rsid w:val="002E4AB8"/>
    <w:rsid w:val="002F092B"/>
    <w:rsid w:val="002F5981"/>
    <w:rsid w:val="00310070"/>
    <w:rsid w:val="003110EC"/>
    <w:rsid w:val="00313029"/>
    <w:rsid w:val="0032590B"/>
    <w:rsid w:val="003268A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91586"/>
    <w:rsid w:val="00394128"/>
    <w:rsid w:val="003947A4"/>
    <w:rsid w:val="00395235"/>
    <w:rsid w:val="0039561A"/>
    <w:rsid w:val="00397C7D"/>
    <w:rsid w:val="003A004F"/>
    <w:rsid w:val="003B4130"/>
    <w:rsid w:val="003B67D3"/>
    <w:rsid w:val="003B715B"/>
    <w:rsid w:val="003C4630"/>
    <w:rsid w:val="003D1D14"/>
    <w:rsid w:val="003D6C7C"/>
    <w:rsid w:val="003D6EFB"/>
    <w:rsid w:val="003D7E52"/>
    <w:rsid w:val="003E25C6"/>
    <w:rsid w:val="003F145B"/>
    <w:rsid w:val="003F326A"/>
    <w:rsid w:val="004011AA"/>
    <w:rsid w:val="0040202C"/>
    <w:rsid w:val="00406508"/>
    <w:rsid w:val="0041456E"/>
    <w:rsid w:val="00414F7E"/>
    <w:rsid w:val="004164F8"/>
    <w:rsid w:val="00417FD0"/>
    <w:rsid w:val="00420B7F"/>
    <w:rsid w:val="004230DA"/>
    <w:rsid w:val="0042488B"/>
    <w:rsid w:val="004427B7"/>
    <w:rsid w:val="0044349F"/>
    <w:rsid w:val="00445F1F"/>
    <w:rsid w:val="00451F60"/>
    <w:rsid w:val="00452BB2"/>
    <w:rsid w:val="0045656D"/>
    <w:rsid w:val="00462D98"/>
    <w:rsid w:val="00472A44"/>
    <w:rsid w:val="00473A89"/>
    <w:rsid w:val="00474D3B"/>
    <w:rsid w:val="00475899"/>
    <w:rsid w:val="004802A8"/>
    <w:rsid w:val="004815EC"/>
    <w:rsid w:val="00482C78"/>
    <w:rsid w:val="004874AE"/>
    <w:rsid w:val="00492E2B"/>
    <w:rsid w:val="00494D24"/>
    <w:rsid w:val="004951D1"/>
    <w:rsid w:val="00497D5F"/>
    <w:rsid w:val="004A27D0"/>
    <w:rsid w:val="004A4D67"/>
    <w:rsid w:val="004B2D4C"/>
    <w:rsid w:val="004C7378"/>
    <w:rsid w:val="004D3D4B"/>
    <w:rsid w:val="004D5498"/>
    <w:rsid w:val="004D66A5"/>
    <w:rsid w:val="004D6B00"/>
    <w:rsid w:val="004E1D50"/>
    <w:rsid w:val="004F0396"/>
    <w:rsid w:val="00501382"/>
    <w:rsid w:val="005054B9"/>
    <w:rsid w:val="00506E4F"/>
    <w:rsid w:val="00510798"/>
    <w:rsid w:val="00514ED8"/>
    <w:rsid w:val="00515F12"/>
    <w:rsid w:val="00524A11"/>
    <w:rsid w:val="00527768"/>
    <w:rsid w:val="005327FB"/>
    <w:rsid w:val="00533FCA"/>
    <w:rsid w:val="0054317E"/>
    <w:rsid w:val="00546D49"/>
    <w:rsid w:val="00560679"/>
    <w:rsid w:val="005616B5"/>
    <w:rsid w:val="00571315"/>
    <w:rsid w:val="00582075"/>
    <w:rsid w:val="00585EB3"/>
    <w:rsid w:val="00592509"/>
    <w:rsid w:val="00597B15"/>
    <w:rsid w:val="005A044C"/>
    <w:rsid w:val="005A46C3"/>
    <w:rsid w:val="005B5C95"/>
    <w:rsid w:val="005B6740"/>
    <w:rsid w:val="005D0200"/>
    <w:rsid w:val="005D44EF"/>
    <w:rsid w:val="005D4814"/>
    <w:rsid w:val="005D5112"/>
    <w:rsid w:val="005F3914"/>
    <w:rsid w:val="005F3B5A"/>
    <w:rsid w:val="005F6AB4"/>
    <w:rsid w:val="00610A66"/>
    <w:rsid w:val="00613177"/>
    <w:rsid w:val="00613F7C"/>
    <w:rsid w:val="00614BF2"/>
    <w:rsid w:val="0061618E"/>
    <w:rsid w:val="00620560"/>
    <w:rsid w:val="006208CB"/>
    <w:rsid w:val="00622780"/>
    <w:rsid w:val="00623DE2"/>
    <w:rsid w:val="00627601"/>
    <w:rsid w:val="006300D0"/>
    <w:rsid w:val="00632012"/>
    <w:rsid w:val="00634694"/>
    <w:rsid w:val="00635F9D"/>
    <w:rsid w:val="00636517"/>
    <w:rsid w:val="00637690"/>
    <w:rsid w:val="00640E1E"/>
    <w:rsid w:val="0064389A"/>
    <w:rsid w:val="00645442"/>
    <w:rsid w:val="006525CD"/>
    <w:rsid w:val="00653F7F"/>
    <w:rsid w:val="00660F24"/>
    <w:rsid w:val="00662EE8"/>
    <w:rsid w:val="00663813"/>
    <w:rsid w:val="00663C3B"/>
    <w:rsid w:val="00664AFD"/>
    <w:rsid w:val="00667567"/>
    <w:rsid w:val="0067391A"/>
    <w:rsid w:val="00674173"/>
    <w:rsid w:val="00674602"/>
    <w:rsid w:val="0067535A"/>
    <w:rsid w:val="00683CA0"/>
    <w:rsid w:val="00690DB1"/>
    <w:rsid w:val="00693404"/>
    <w:rsid w:val="006953D9"/>
    <w:rsid w:val="00695B64"/>
    <w:rsid w:val="00697837"/>
    <w:rsid w:val="00697FE9"/>
    <w:rsid w:val="006A37F5"/>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CC1"/>
    <w:rsid w:val="006F5FFF"/>
    <w:rsid w:val="006F6E33"/>
    <w:rsid w:val="006F7AF3"/>
    <w:rsid w:val="00703635"/>
    <w:rsid w:val="007054AA"/>
    <w:rsid w:val="00706D4B"/>
    <w:rsid w:val="007078F9"/>
    <w:rsid w:val="00707B8C"/>
    <w:rsid w:val="00710804"/>
    <w:rsid w:val="00711FC6"/>
    <w:rsid w:val="007130B1"/>
    <w:rsid w:val="00715071"/>
    <w:rsid w:val="007231E9"/>
    <w:rsid w:val="0072650E"/>
    <w:rsid w:val="00727C59"/>
    <w:rsid w:val="00734E5D"/>
    <w:rsid w:val="00735AF1"/>
    <w:rsid w:val="00736013"/>
    <w:rsid w:val="00737661"/>
    <w:rsid w:val="00755D75"/>
    <w:rsid w:val="00756245"/>
    <w:rsid w:val="00761662"/>
    <w:rsid w:val="00764043"/>
    <w:rsid w:val="007757CF"/>
    <w:rsid w:val="00776FFC"/>
    <w:rsid w:val="0078128F"/>
    <w:rsid w:val="0078683C"/>
    <w:rsid w:val="00790EDB"/>
    <w:rsid w:val="00791538"/>
    <w:rsid w:val="0079326E"/>
    <w:rsid w:val="00796EDE"/>
    <w:rsid w:val="007A27A9"/>
    <w:rsid w:val="007A5A58"/>
    <w:rsid w:val="007A6740"/>
    <w:rsid w:val="007B1C56"/>
    <w:rsid w:val="007B2CCC"/>
    <w:rsid w:val="007B4996"/>
    <w:rsid w:val="007C3CD5"/>
    <w:rsid w:val="007C61EF"/>
    <w:rsid w:val="007D1C0D"/>
    <w:rsid w:val="007D2D23"/>
    <w:rsid w:val="007E27D6"/>
    <w:rsid w:val="007E3921"/>
    <w:rsid w:val="007E5DDE"/>
    <w:rsid w:val="00801028"/>
    <w:rsid w:val="00803793"/>
    <w:rsid w:val="0080643F"/>
    <w:rsid w:val="00814052"/>
    <w:rsid w:val="008149FD"/>
    <w:rsid w:val="00817A01"/>
    <w:rsid w:val="00824F21"/>
    <w:rsid w:val="00825E35"/>
    <w:rsid w:val="008334F8"/>
    <w:rsid w:val="008341AA"/>
    <w:rsid w:val="00835D8E"/>
    <w:rsid w:val="00844D03"/>
    <w:rsid w:val="00847B0F"/>
    <w:rsid w:val="00876659"/>
    <w:rsid w:val="00876677"/>
    <w:rsid w:val="0087734C"/>
    <w:rsid w:val="00881317"/>
    <w:rsid w:val="00882141"/>
    <w:rsid w:val="00891E92"/>
    <w:rsid w:val="008922A8"/>
    <w:rsid w:val="00895728"/>
    <w:rsid w:val="00895BD5"/>
    <w:rsid w:val="0089742B"/>
    <w:rsid w:val="008A16C4"/>
    <w:rsid w:val="008A6FED"/>
    <w:rsid w:val="008B39C5"/>
    <w:rsid w:val="008B51AA"/>
    <w:rsid w:val="008B7932"/>
    <w:rsid w:val="008C67F2"/>
    <w:rsid w:val="008D064A"/>
    <w:rsid w:val="008D2B0F"/>
    <w:rsid w:val="008E449E"/>
    <w:rsid w:val="008E7062"/>
    <w:rsid w:val="008F187F"/>
    <w:rsid w:val="008F402F"/>
    <w:rsid w:val="008F55FA"/>
    <w:rsid w:val="008F76E8"/>
    <w:rsid w:val="008F76F5"/>
    <w:rsid w:val="008F7CD0"/>
    <w:rsid w:val="00902902"/>
    <w:rsid w:val="00902A4B"/>
    <w:rsid w:val="009078A1"/>
    <w:rsid w:val="00911E9C"/>
    <w:rsid w:val="00915083"/>
    <w:rsid w:val="00917405"/>
    <w:rsid w:val="00920035"/>
    <w:rsid w:val="00920F7C"/>
    <w:rsid w:val="00934CAE"/>
    <w:rsid w:val="0094257D"/>
    <w:rsid w:val="00942F60"/>
    <w:rsid w:val="0095211B"/>
    <w:rsid w:val="009541E0"/>
    <w:rsid w:val="0095467C"/>
    <w:rsid w:val="00954A61"/>
    <w:rsid w:val="00955C6F"/>
    <w:rsid w:val="00966C7B"/>
    <w:rsid w:val="009701DC"/>
    <w:rsid w:val="009715D8"/>
    <w:rsid w:val="00977EDC"/>
    <w:rsid w:val="00985C4B"/>
    <w:rsid w:val="009919E8"/>
    <w:rsid w:val="00995BF9"/>
    <w:rsid w:val="00997C3C"/>
    <w:rsid w:val="009A0CAF"/>
    <w:rsid w:val="009A1474"/>
    <w:rsid w:val="009A2207"/>
    <w:rsid w:val="009A5147"/>
    <w:rsid w:val="009A74C4"/>
    <w:rsid w:val="009B6C42"/>
    <w:rsid w:val="009D31F7"/>
    <w:rsid w:val="009D32C2"/>
    <w:rsid w:val="009D50DB"/>
    <w:rsid w:val="009E3A0A"/>
    <w:rsid w:val="009F3E91"/>
    <w:rsid w:val="009F6CE7"/>
    <w:rsid w:val="00A01670"/>
    <w:rsid w:val="00A1499B"/>
    <w:rsid w:val="00A1551F"/>
    <w:rsid w:val="00A20879"/>
    <w:rsid w:val="00A20AFC"/>
    <w:rsid w:val="00A314C2"/>
    <w:rsid w:val="00A43B9C"/>
    <w:rsid w:val="00A53155"/>
    <w:rsid w:val="00A53996"/>
    <w:rsid w:val="00A63E86"/>
    <w:rsid w:val="00A65A1C"/>
    <w:rsid w:val="00A757C3"/>
    <w:rsid w:val="00A75E5B"/>
    <w:rsid w:val="00A7684A"/>
    <w:rsid w:val="00A82AED"/>
    <w:rsid w:val="00A83B69"/>
    <w:rsid w:val="00A84AF8"/>
    <w:rsid w:val="00A86533"/>
    <w:rsid w:val="00A9176A"/>
    <w:rsid w:val="00A91CA2"/>
    <w:rsid w:val="00A92FB8"/>
    <w:rsid w:val="00A948F1"/>
    <w:rsid w:val="00AA1D7D"/>
    <w:rsid w:val="00AA7525"/>
    <w:rsid w:val="00AB0EA9"/>
    <w:rsid w:val="00AB139D"/>
    <w:rsid w:val="00AB2C46"/>
    <w:rsid w:val="00AB3EFB"/>
    <w:rsid w:val="00AC0B05"/>
    <w:rsid w:val="00AD079A"/>
    <w:rsid w:val="00AD1890"/>
    <w:rsid w:val="00AE2149"/>
    <w:rsid w:val="00AE33AE"/>
    <w:rsid w:val="00AE35BA"/>
    <w:rsid w:val="00AE3785"/>
    <w:rsid w:val="00AE3F91"/>
    <w:rsid w:val="00AE452F"/>
    <w:rsid w:val="00AE76E6"/>
    <w:rsid w:val="00B00ACC"/>
    <w:rsid w:val="00B039E3"/>
    <w:rsid w:val="00B043C1"/>
    <w:rsid w:val="00B20546"/>
    <w:rsid w:val="00B22838"/>
    <w:rsid w:val="00B23212"/>
    <w:rsid w:val="00B232ED"/>
    <w:rsid w:val="00B32BC1"/>
    <w:rsid w:val="00B33E95"/>
    <w:rsid w:val="00B35B5E"/>
    <w:rsid w:val="00B3720B"/>
    <w:rsid w:val="00B40EE3"/>
    <w:rsid w:val="00B55271"/>
    <w:rsid w:val="00B5558A"/>
    <w:rsid w:val="00B56513"/>
    <w:rsid w:val="00B56B2E"/>
    <w:rsid w:val="00B64376"/>
    <w:rsid w:val="00B71533"/>
    <w:rsid w:val="00B7401F"/>
    <w:rsid w:val="00B806C3"/>
    <w:rsid w:val="00B84FCA"/>
    <w:rsid w:val="00B9089F"/>
    <w:rsid w:val="00B91AEE"/>
    <w:rsid w:val="00B94F71"/>
    <w:rsid w:val="00B95F5A"/>
    <w:rsid w:val="00B96EAD"/>
    <w:rsid w:val="00BA4B42"/>
    <w:rsid w:val="00BA79F5"/>
    <w:rsid w:val="00BB02E8"/>
    <w:rsid w:val="00BB3826"/>
    <w:rsid w:val="00BB3AB6"/>
    <w:rsid w:val="00BB766D"/>
    <w:rsid w:val="00BC007B"/>
    <w:rsid w:val="00BC15E7"/>
    <w:rsid w:val="00BC26BA"/>
    <w:rsid w:val="00BC35F8"/>
    <w:rsid w:val="00BC7140"/>
    <w:rsid w:val="00BD3944"/>
    <w:rsid w:val="00BF376F"/>
    <w:rsid w:val="00BF46A6"/>
    <w:rsid w:val="00BF62CF"/>
    <w:rsid w:val="00BF73D6"/>
    <w:rsid w:val="00C06545"/>
    <w:rsid w:val="00C1161C"/>
    <w:rsid w:val="00C220FC"/>
    <w:rsid w:val="00C24DFA"/>
    <w:rsid w:val="00C4202A"/>
    <w:rsid w:val="00C4211F"/>
    <w:rsid w:val="00C46A36"/>
    <w:rsid w:val="00C47037"/>
    <w:rsid w:val="00C53625"/>
    <w:rsid w:val="00C602C1"/>
    <w:rsid w:val="00C63FC0"/>
    <w:rsid w:val="00C66392"/>
    <w:rsid w:val="00C74C5E"/>
    <w:rsid w:val="00C827A2"/>
    <w:rsid w:val="00C82B69"/>
    <w:rsid w:val="00C85394"/>
    <w:rsid w:val="00C8657D"/>
    <w:rsid w:val="00C91B28"/>
    <w:rsid w:val="00C91F3A"/>
    <w:rsid w:val="00C94A6F"/>
    <w:rsid w:val="00CA06E3"/>
    <w:rsid w:val="00CA3F0C"/>
    <w:rsid w:val="00CB5797"/>
    <w:rsid w:val="00CC1202"/>
    <w:rsid w:val="00CC4099"/>
    <w:rsid w:val="00CC45C1"/>
    <w:rsid w:val="00CD016B"/>
    <w:rsid w:val="00CD09E1"/>
    <w:rsid w:val="00CD6202"/>
    <w:rsid w:val="00CE2486"/>
    <w:rsid w:val="00CE4913"/>
    <w:rsid w:val="00CE66BD"/>
    <w:rsid w:val="00CE6906"/>
    <w:rsid w:val="00CF0671"/>
    <w:rsid w:val="00CF44AD"/>
    <w:rsid w:val="00CF4FC0"/>
    <w:rsid w:val="00D02B1B"/>
    <w:rsid w:val="00D1072F"/>
    <w:rsid w:val="00D108A5"/>
    <w:rsid w:val="00D14585"/>
    <w:rsid w:val="00D2035A"/>
    <w:rsid w:val="00D20EFF"/>
    <w:rsid w:val="00D30F1B"/>
    <w:rsid w:val="00D30FC0"/>
    <w:rsid w:val="00D34F0D"/>
    <w:rsid w:val="00D3516E"/>
    <w:rsid w:val="00D4064C"/>
    <w:rsid w:val="00D53ED8"/>
    <w:rsid w:val="00D56A47"/>
    <w:rsid w:val="00D64857"/>
    <w:rsid w:val="00D6493A"/>
    <w:rsid w:val="00D64EE2"/>
    <w:rsid w:val="00D67875"/>
    <w:rsid w:val="00D7063F"/>
    <w:rsid w:val="00D71CBD"/>
    <w:rsid w:val="00D71E86"/>
    <w:rsid w:val="00D731C6"/>
    <w:rsid w:val="00D745C5"/>
    <w:rsid w:val="00D75327"/>
    <w:rsid w:val="00D76473"/>
    <w:rsid w:val="00D80C36"/>
    <w:rsid w:val="00D86779"/>
    <w:rsid w:val="00D86EE1"/>
    <w:rsid w:val="00D9120E"/>
    <w:rsid w:val="00D96126"/>
    <w:rsid w:val="00DB4B1C"/>
    <w:rsid w:val="00DB5085"/>
    <w:rsid w:val="00DB7706"/>
    <w:rsid w:val="00DC1062"/>
    <w:rsid w:val="00DC132C"/>
    <w:rsid w:val="00DD43F0"/>
    <w:rsid w:val="00DD44DE"/>
    <w:rsid w:val="00DE09AB"/>
    <w:rsid w:val="00DE4A3F"/>
    <w:rsid w:val="00DE7AE9"/>
    <w:rsid w:val="00DF4367"/>
    <w:rsid w:val="00E0574A"/>
    <w:rsid w:val="00E1243D"/>
    <w:rsid w:val="00E12742"/>
    <w:rsid w:val="00E146D4"/>
    <w:rsid w:val="00E20976"/>
    <w:rsid w:val="00E21A29"/>
    <w:rsid w:val="00E22079"/>
    <w:rsid w:val="00E22B44"/>
    <w:rsid w:val="00E236D8"/>
    <w:rsid w:val="00E30ACD"/>
    <w:rsid w:val="00E31E1E"/>
    <w:rsid w:val="00E32735"/>
    <w:rsid w:val="00E5391D"/>
    <w:rsid w:val="00E66E36"/>
    <w:rsid w:val="00E6781E"/>
    <w:rsid w:val="00E702ED"/>
    <w:rsid w:val="00E709A4"/>
    <w:rsid w:val="00E73822"/>
    <w:rsid w:val="00E74319"/>
    <w:rsid w:val="00E772DB"/>
    <w:rsid w:val="00E85261"/>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6E9A"/>
    <w:rsid w:val="00EF0BF1"/>
    <w:rsid w:val="00EF2AC4"/>
    <w:rsid w:val="00EF342E"/>
    <w:rsid w:val="00EF397E"/>
    <w:rsid w:val="00F06F68"/>
    <w:rsid w:val="00F1713B"/>
    <w:rsid w:val="00F212CB"/>
    <w:rsid w:val="00F23C7D"/>
    <w:rsid w:val="00F243DB"/>
    <w:rsid w:val="00F24C2D"/>
    <w:rsid w:val="00F24F1B"/>
    <w:rsid w:val="00F27356"/>
    <w:rsid w:val="00F32A81"/>
    <w:rsid w:val="00F448E8"/>
    <w:rsid w:val="00F46998"/>
    <w:rsid w:val="00F47100"/>
    <w:rsid w:val="00F5382D"/>
    <w:rsid w:val="00F53D9C"/>
    <w:rsid w:val="00F5462B"/>
    <w:rsid w:val="00F609C8"/>
    <w:rsid w:val="00F634AD"/>
    <w:rsid w:val="00F63677"/>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B5CF2"/>
    <w:rsid w:val="00FC1439"/>
    <w:rsid w:val="00FC58BE"/>
    <w:rsid w:val="00FC724B"/>
    <w:rsid w:val="00FC7910"/>
    <w:rsid w:val="00FD17AB"/>
    <w:rsid w:val="00FE13AD"/>
    <w:rsid w:val="00FE4D8E"/>
    <w:rsid w:val="00FE72A6"/>
    <w:rsid w:val="00FF0DA7"/>
    <w:rsid w:val="00FF44E0"/>
    <w:rsid w:val="00FF4CB6"/>
    <w:rsid w:val="00FF6C72"/>
    <w:rsid w:val="107072C8"/>
    <w:rsid w:val="3A1276E9"/>
    <w:rsid w:val="57045FF2"/>
    <w:rsid w:val="5B8E2FB3"/>
    <w:rsid w:val="67154F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szCs w:val="20"/>
      <w:lang w:val="en-US" w:eastAsia="zh-CN" w:bidi="ar-SA"/>
    </w:rPr>
  </w:style>
  <w:style w:type="paragraph" w:styleId="3">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4">
    <w:name w:val="heading 3"/>
    <w:basedOn w:val="1"/>
    <w:next w:val="1"/>
    <w:link w:val="43"/>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8"/>
    <w:qFormat/>
    <w:uiPriority w:val="0"/>
    <w:pPr>
      <w:keepNext/>
      <w:keepLines/>
      <w:spacing w:before="280" w:after="290" w:line="376" w:lineRule="auto"/>
      <w:outlineLvl w:val="3"/>
    </w:pPr>
    <w:rPr>
      <w:b/>
      <w:bCs/>
      <w:sz w:val="28"/>
      <w:szCs w:val="28"/>
    </w:rPr>
  </w:style>
  <w:style w:type="character" w:default="1" w:styleId="20">
    <w:name w:val="Default Paragraph Font"/>
    <w:semiHidden/>
    <w:unhideWhenUsed/>
    <w:qFormat/>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2">
    <w:name w:val="Body Text"/>
    <w:basedOn w:val="1"/>
    <w:next w:val="1"/>
    <w:qFormat/>
    <w:uiPriority w:val="0"/>
    <w:pPr>
      <w:widowControl/>
      <w:spacing w:line="320" w:lineRule="atLeast"/>
    </w:pPr>
    <w:rPr>
      <w:rFonts w:ascii="Times New Roman" w:hAnsi="Times New Roman" w:eastAsia="隶书" w:cs="Times New Roman"/>
      <w:b/>
      <w:kern w:val="0"/>
      <w:sz w:val="44"/>
    </w:rPr>
  </w:style>
  <w:style w:type="paragraph" w:styleId="6">
    <w:name w:val="Normal Indent"/>
    <w:basedOn w:val="1"/>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40"/>
    <w:qFormat/>
    <w:uiPriority w:val="0"/>
    <w:pPr>
      <w:jc w:val="left"/>
    </w:pPr>
    <w:rPr>
      <w:rFonts w:ascii="Arial" w:hAnsi="Arial" w:eastAsia="黑体" w:cs="Arial"/>
    </w:rPr>
  </w:style>
  <w:style w:type="paragraph" w:styleId="8">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9">
    <w:name w:val="Plain Text"/>
    <w:basedOn w:val="1"/>
    <w:link w:val="30"/>
    <w:qFormat/>
    <w:uiPriority w:val="99"/>
    <w:rPr>
      <w:rFonts w:ascii="宋体" w:hAnsi="Courier New" w:eastAsiaTheme="minorEastAsia" w:cstheme="minorBidi"/>
      <w:szCs w:val="22"/>
    </w:rPr>
  </w:style>
  <w:style w:type="paragraph" w:styleId="10">
    <w:name w:val="Date"/>
    <w:basedOn w:val="1"/>
    <w:next w:val="1"/>
    <w:link w:val="37"/>
    <w:qFormat/>
    <w:uiPriority w:val="0"/>
    <w:rPr>
      <w:rFonts w:ascii="Arial" w:hAnsi="Arial" w:eastAsia="宋体" w:cs="Arial"/>
      <w:b/>
      <w:sz w:val="28"/>
    </w:rPr>
  </w:style>
  <w:style w:type="paragraph" w:styleId="11">
    <w:name w:val="Balloon Text"/>
    <w:basedOn w:val="1"/>
    <w:link w:val="24"/>
    <w:semiHidden/>
    <w:unhideWhenUsed/>
    <w:qFormat/>
    <w:uiPriority w:val="99"/>
    <w:rPr>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5">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6">
    <w:name w:val="index 1"/>
    <w:basedOn w:val="1"/>
    <w:next w:val="1"/>
    <w:uiPriority w:val="0"/>
    <w:pPr>
      <w:jc w:val="center"/>
    </w:pPr>
    <w:rPr>
      <w:rFonts w:ascii="Arial" w:hAnsi="Arial" w:eastAsia="Arial" w:cs="Arial"/>
      <w:b/>
      <w:bCs/>
      <w:sz w:val="28"/>
    </w:rPr>
  </w:style>
  <w:style w:type="paragraph" w:styleId="17">
    <w:name w:val="annotation subject"/>
    <w:basedOn w:val="7"/>
    <w:next w:val="7"/>
    <w:link w:val="53"/>
    <w:semiHidden/>
    <w:unhideWhenUsed/>
    <w:qFormat/>
    <w:uiPriority w:val="99"/>
    <w:rPr>
      <w:rFonts w:ascii="@仿宋_GB2312" w:hAnsi="@仿宋_GB2312" w:eastAsia="@仿宋_GB2312" w:cs="@仿宋_GB2312"/>
      <w:b/>
      <w:bCs/>
    </w:rPr>
  </w:style>
  <w:style w:type="table" w:styleId="19">
    <w:name w:val="Table Grid"/>
    <w:basedOn w:val="18"/>
    <w:unhideWhenUsed/>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unhideWhenUsed/>
    <w:qFormat/>
    <w:uiPriority w:val="99"/>
    <w:rPr>
      <w:sz w:val="21"/>
      <w:szCs w:val="21"/>
    </w:rPr>
  </w:style>
  <w:style w:type="character" w:customStyle="1" w:styleId="24">
    <w:name w:val="批注框文本 Char"/>
    <w:basedOn w:val="20"/>
    <w:link w:val="11"/>
    <w:semiHidden/>
    <w:uiPriority w:val="99"/>
    <w:rPr>
      <w:rFonts w:ascii="@仿宋_GB2312" w:hAnsi="@仿宋_GB2312" w:eastAsia="@仿宋_GB2312" w:cs="@仿宋_GB2312"/>
      <w:sz w:val="18"/>
      <w:szCs w:val="18"/>
    </w:rPr>
  </w:style>
  <w:style w:type="paragraph" w:customStyle="1" w:styleId="25">
    <w:name w:val="正文（缩进）"/>
    <w:basedOn w:val="1"/>
    <w:qFormat/>
    <w:uiPriority w:val="0"/>
    <w:pPr>
      <w:widowControl/>
      <w:spacing w:before="156" w:after="156"/>
      <w:ind w:firstLine="480" w:firstLineChars="200"/>
      <w:jc w:val="left"/>
    </w:pPr>
    <w:rPr>
      <w:kern w:val="0"/>
      <w:sz w:val="24"/>
      <w:szCs w:val="24"/>
    </w:rPr>
  </w:style>
  <w:style w:type="paragraph" w:customStyle="1" w:styleId="26">
    <w:name w:val="xl31"/>
    <w:basedOn w:val="1"/>
    <w:qFormat/>
    <w:uiPriority w:val="0"/>
    <w:pPr>
      <w:widowControl/>
      <w:spacing w:before="100" w:beforeAutospacing="1" w:after="100" w:afterAutospacing="1"/>
      <w:jc w:val="center"/>
    </w:pPr>
    <w:rPr>
      <w:b/>
      <w:bCs/>
      <w:kern w:val="0"/>
      <w:sz w:val="28"/>
      <w:szCs w:val="28"/>
    </w:rPr>
  </w:style>
  <w:style w:type="paragraph" w:customStyle="1" w:styleId="27">
    <w:name w:val="D&amp;L"/>
    <w:basedOn w:val="13"/>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28">
    <w:name w:val="页眉 Char"/>
    <w:basedOn w:val="20"/>
    <w:link w:val="13"/>
    <w:qFormat/>
    <w:uiPriority w:val="99"/>
    <w:rPr>
      <w:rFonts w:ascii="@仿宋_GB2312" w:hAnsi="@仿宋_GB2312" w:eastAsia="@仿宋_GB2312" w:cs="@仿宋_GB2312"/>
      <w:sz w:val="18"/>
      <w:szCs w:val="18"/>
    </w:rPr>
  </w:style>
  <w:style w:type="character" w:customStyle="1" w:styleId="29">
    <w:name w:val="页脚 Char"/>
    <w:basedOn w:val="20"/>
    <w:link w:val="12"/>
    <w:uiPriority w:val="99"/>
    <w:rPr>
      <w:rFonts w:ascii="@仿宋_GB2312" w:hAnsi="@仿宋_GB2312" w:eastAsia="@仿宋_GB2312" w:cs="@仿宋_GB2312"/>
      <w:sz w:val="18"/>
      <w:szCs w:val="18"/>
    </w:rPr>
  </w:style>
  <w:style w:type="character" w:customStyle="1" w:styleId="30">
    <w:name w:val="纯文本 Char2"/>
    <w:link w:val="9"/>
    <w:qFormat/>
    <w:uiPriority w:val="0"/>
    <w:rPr>
      <w:rFonts w:ascii="宋体" w:hAnsi="Courier New"/>
    </w:rPr>
  </w:style>
  <w:style w:type="character" w:customStyle="1" w:styleId="31">
    <w:name w:val="纯文本 字符1"/>
    <w:basedOn w:val="20"/>
    <w:semiHidden/>
    <w:qFormat/>
    <w:uiPriority w:val="99"/>
    <w:rPr>
      <w:rFonts w:hAnsi="Courier New" w:cs="Courier New" w:asciiTheme="minorEastAsia"/>
      <w:szCs w:val="20"/>
    </w:rPr>
  </w:style>
  <w:style w:type="character" w:customStyle="1" w:styleId="32">
    <w:name w:val="未处理的提及1"/>
    <w:basedOn w:val="20"/>
    <w:semiHidden/>
    <w:unhideWhenUsed/>
    <w:qFormat/>
    <w:uiPriority w:val="99"/>
    <w:rPr>
      <w:color w:val="605E5C"/>
      <w:shd w:val="clear" w:color="auto" w:fill="E1DFDD"/>
    </w:rPr>
  </w:style>
  <w:style w:type="paragraph" w:styleId="33">
    <w:name w:val="List Paragraph"/>
    <w:basedOn w:val="1"/>
    <w:qFormat/>
    <w:uiPriority w:val="34"/>
    <w:pPr>
      <w:ind w:firstLine="420" w:firstLineChars="200"/>
    </w:pPr>
  </w:style>
  <w:style w:type="paragraph" w:customStyle="1" w:styleId="34">
    <w:name w:val="Char Char Char Char Char Char Char1 Char"/>
    <w:basedOn w:val="1"/>
    <w:uiPriority w:val="0"/>
    <w:rPr>
      <w:rFonts w:ascii="Arial" w:hAnsi="Arial" w:eastAsia="宋体" w:cs="Arial"/>
      <w:sz w:val="24"/>
    </w:rPr>
  </w:style>
  <w:style w:type="table" w:customStyle="1" w:styleId="35">
    <w:name w:val="网格表 1 浅色1"/>
    <w:basedOn w:val="1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36">
    <w:name w:val="日期 字符"/>
    <w:basedOn w:val="20"/>
    <w:semiHidden/>
    <w:uiPriority w:val="99"/>
    <w:rPr>
      <w:rFonts w:ascii="@仿宋_GB2312" w:hAnsi="@仿宋_GB2312" w:eastAsia="@仿宋_GB2312" w:cs="@仿宋_GB2312"/>
      <w:szCs w:val="20"/>
    </w:rPr>
  </w:style>
  <w:style w:type="character" w:customStyle="1" w:styleId="37">
    <w:name w:val="日期 Char"/>
    <w:link w:val="10"/>
    <w:qFormat/>
    <w:uiPriority w:val="0"/>
    <w:rPr>
      <w:rFonts w:ascii="Arial" w:hAnsi="Arial" w:eastAsia="宋体" w:cs="Arial"/>
      <w:b/>
      <w:sz w:val="28"/>
      <w:szCs w:val="20"/>
    </w:rPr>
  </w:style>
  <w:style w:type="character" w:customStyle="1" w:styleId="38">
    <w:name w:val="纯文本 Char1"/>
    <w:qFormat/>
    <w:locked/>
    <w:uiPriority w:val="99"/>
    <w:rPr>
      <w:rFonts w:ascii="Arial" w:hAnsi="Arial" w:eastAsia="Arial"/>
      <w:kern w:val="2"/>
      <w:sz w:val="21"/>
      <w:lang w:val="en-US" w:eastAsia="zh-CN" w:bidi="ar-SA"/>
    </w:rPr>
  </w:style>
  <w:style w:type="character" w:customStyle="1" w:styleId="39">
    <w:name w:val="批注文字 Char"/>
    <w:basedOn w:val="20"/>
    <w:semiHidden/>
    <w:uiPriority w:val="99"/>
    <w:rPr>
      <w:rFonts w:ascii="@仿宋_GB2312" w:hAnsi="@仿宋_GB2312" w:eastAsia="@仿宋_GB2312" w:cs="@仿宋_GB2312"/>
      <w:szCs w:val="20"/>
    </w:rPr>
  </w:style>
  <w:style w:type="character" w:customStyle="1" w:styleId="40">
    <w:name w:val="批注文字 Char1"/>
    <w:link w:val="7"/>
    <w:qFormat/>
    <w:uiPriority w:val="0"/>
    <w:rPr>
      <w:rFonts w:ascii="Arial" w:hAnsi="Arial" w:eastAsia="黑体" w:cs="Arial"/>
      <w:szCs w:val="20"/>
    </w:rPr>
  </w:style>
  <w:style w:type="character" w:customStyle="1" w:styleId="41">
    <w:name w:val="标题 1 Char"/>
    <w:basedOn w:val="20"/>
    <w:link w:val="3"/>
    <w:qFormat/>
    <w:uiPriority w:val="9"/>
    <w:rPr>
      <w:rFonts w:ascii="@仿宋_GB2312" w:hAnsi="@仿宋_GB2312" w:eastAsia="@仿宋_GB2312" w:cs="@仿宋_GB2312"/>
      <w:b/>
      <w:bCs/>
      <w:kern w:val="44"/>
      <w:sz w:val="44"/>
      <w:szCs w:val="44"/>
    </w:rPr>
  </w:style>
  <w:style w:type="paragraph" w:customStyle="1" w:styleId="42">
    <w:name w:val="TOC Heading"/>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3">
    <w:name w:val="标题 3 Char"/>
    <w:basedOn w:val="20"/>
    <w:link w:val="4"/>
    <w:semiHidden/>
    <w:qFormat/>
    <w:uiPriority w:val="9"/>
    <w:rPr>
      <w:rFonts w:ascii="@仿宋_GB2312" w:hAnsi="@仿宋_GB2312" w:eastAsia="@仿宋_GB2312" w:cs="@仿宋_GB2312"/>
      <w:b/>
      <w:bCs/>
      <w:sz w:val="32"/>
      <w:szCs w:val="32"/>
    </w:rPr>
  </w:style>
  <w:style w:type="character" w:customStyle="1" w:styleId="44">
    <w:name w:val="fontstyle01"/>
    <w:basedOn w:val="20"/>
    <w:qFormat/>
    <w:uiPriority w:val="0"/>
    <w:rPr>
      <w:rFonts w:hint="eastAsia" w:ascii="宋体" w:hAnsi="宋体" w:eastAsia="宋体"/>
      <w:color w:val="000000"/>
      <w:sz w:val="22"/>
      <w:szCs w:val="22"/>
    </w:rPr>
  </w:style>
  <w:style w:type="character" w:customStyle="1" w:styleId="45">
    <w:name w:val="fontstyle21"/>
    <w:basedOn w:val="20"/>
    <w:uiPriority w:val="0"/>
    <w:rPr>
      <w:rFonts w:hint="default" w:ascii="TimesNewRomanPSMT" w:hAnsi="TimesNewRomanPSMT"/>
      <w:color w:val="000000"/>
      <w:sz w:val="22"/>
      <w:szCs w:val="22"/>
    </w:rPr>
  </w:style>
  <w:style w:type="character" w:customStyle="1" w:styleId="46">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47">
    <w:name w:val="标题 4 字符"/>
    <w:basedOn w:val="20"/>
    <w:semiHidden/>
    <w:qFormat/>
    <w:uiPriority w:val="9"/>
    <w:rPr>
      <w:rFonts w:asciiTheme="majorHAnsi" w:hAnsiTheme="majorHAnsi" w:eastAsiaTheme="majorEastAsia" w:cstheme="majorBidi"/>
      <w:b/>
      <w:bCs/>
      <w:sz w:val="28"/>
      <w:szCs w:val="28"/>
    </w:rPr>
  </w:style>
  <w:style w:type="character" w:customStyle="1" w:styleId="48">
    <w:name w:val="标题 4 Char1"/>
    <w:link w:val="5"/>
    <w:uiPriority w:val="0"/>
    <w:rPr>
      <w:rFonts w:ascii="@仿宋_GB2312" w:hAnsi="@仿宋_GB2312" w:eastAsia="@仿宋_GB2312" w:cs="@仿宋_GB2312"/>
      <w:b/>
      <w:bCs/>
      <w:sz w:val="28"/>
      <w:szCs w:val="28"/>
    </w:rPr>
  </w:style>
  <w:style w:type="character" w:customStyle="1" w:styleId="49">
    <w:name w:val="标题 4 Char"/>
    <w:qFormat/>
    <w:uiPriority w:val="0"/>
    <w:rPr>
      <w:rFonts w:ascii="Arial" w:hAnsi="Arial" w:eastAsia="Arial"/>
      <w:b/>
      <w:bCs/>
      <w:kern w:val="2"/>
      <w:sz w:val="28"/>
      <w:szCs w:val="28"/>
      <w:lang w:val="en-US" w:eastAsia="zh-CN" w:bidi="ar-SA"/>
    </w:rPr>
  </w:style>
  <w:style w:type="table" w:customStyle="1" w:styleId="50">
    <w:name w:val="网格型1"/>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
    <w:name w:val="列出段落1"/>
    <w:basedOn w:val="1"/>
    <w:qFormat/>
    <w:uiPriority w:val="34"/>
    <w:pPr>
      <w:ind w:firstLine="420" w:firstLineChars="200"/>
    </w:pPr>
    <w:rPr>
      <w:rFonts w:ascii="Calibri" w:hAnsi="Calibri" w:eastAsia="宋体" w:cs="Times New Roman"/>
      <w:szCs w:val="22"/>
    </w:rPr>
  </w:style>
  <w:style w:type="paragraph" w:customStyle="1" w:styleId="52">
    <w:name w:val="Default"/>
    <w:qFormat/>
    <w:uiPriority w:val="0"/>
    <w:pPr>
      <w:widowControl w:val="0"/>
      <w:autoSpaceDE w:val="0"/>
      <w:autoSpaceDN w:val="0"/>
      <w:adjustRightInd w:val="0"/>
    </w:pPr>
    <w:rPr>
      <w:rFonts w:ascii="宋体" w:hAnsi="宋体" w:eastAsia="华文细黑" w:cs="宋体"/>
      <w:color w:val="000000"/>
      <w:kern w:val="0"/>
      <w:sz w:val="24"/>
      <w:szCs w:val="24"/>
      <w:lang w:val="en-US" w:eastAsia="zh-CN" w:bidi="ar-SA"/>
    </w:rPr>
  </w:style>
  <w:style w:type="character" w:customStyle="1" w:styleId="53">
    <w:name w:val="批注主题 Char"/>
    <w:basedOn w:val="40"/>
    <w:link w:val="17"/>
    <w:semiHidden/>
    <w:qFormat/>
    <w:uiPriority w:val="99"/>
    <w:rPr>
      <w:rFonts w:ascii="@仿宋_GB2312" w:hAnsi="@仿宋_GB2312" w:eastAsia="@仿宋_GB2312" w:cs="@仿宋_GB2312"/>
      <w:b/>
      <w:bCs/>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84E44B-EEBC-4B00-BB70-D21E7396FE9B}">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67</Pages>
  <Words>5460</Words>
  <Characters>31123</Characters>
  <Lines>259</Lines>
  <Paragraphs>73</Paragraphs>
  <TotalTime>0</TotalTime>
  <ScaleCrop>false</ScaleCrop>
  <LinksUpToDate>false</LinksUpToDate>
  <CharactersWithSpaces>36510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2020-06-30T11:16:00Z</dcterms:created>
  <dc:creator>Anakin</dc:creator>
  <cp:lastModifiedBy>admin</cp:lastModifiedBy>
  <cp:lastPrinted>2021-07-07T02:27:00Z</cp:lastPrinted>
  <dcterms:modified xsi:type="dcterms:W3CDTF">2021-07-30T09:19:00Z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